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bookmarkStart w:id="0" w:name="_GoBack"/>
      <w:bookmarkEnd w:id="0"/>
      <w:r w:rsidRPr="00255861">
        <w:rPr>
          <w:rFonts w:cs="Times New Roman"/>
          <w:b/>
          <w:szCs w:val="24"/>
          <w:lang w:val="fr-CA"/>
        </w:rPr>
        <w:t xml:space="preserve">UNE CONCEPTION ÉVOLUTIVE DE L’IDENTITÉ : RÉFLEXIONS SUR L’HÉRITAGE LAISSÉ PAR 35 ANS DE JURISPRUDENCE SUR LA </w:t>
      </w:r>
      <w:r w:rsidRPr="00255861">
        <w:rPr>
          <w:rFonts w:cs="Times New Roman"/>
          <w:b/>
          <w:i/>
          <w:szCs w:val="24"/>
          <w:lang w:val="fr-CA"/>
        </w:rPr>
        <w:t>CHARTE</w:t>
      </w:r>
      <w:r w:rsidRPr="00255861">
        <w:rPr>
          <w:rFonts w:cs="Times New Roman"/>
          <w:b/>
          <w:szCs w:val="24"/>
          <w:lang w:val="fr-CA"/>
        </w:rPr>
        <w:t xml:space="preserve"> </w:t>
      </w: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r w:rsidRPr="00255861">
        <w:rPr>
          <w:rFonts w:cs="Times New Roman"/>
          <w:b/>
          <w:szCs w:val="24"/>
          <w:lang w:val="fr-CA"/>
        </w:rPr>
        <w:t>L’</w:t>
      </w:r>
      <w:r w:rsidR="00BB770D" w:rsidRPr="00255861">
        <w:rPr>
          <w:rFonts w:cs="Times New Roman"/>
          <w:b/>
          <w:szCs w:val="24"/>
          <w:lang w:val="fr-CA"/>
        </w:rPr>
        <w:t>h</w:t>
      </w:r>
      <w:r w:rsidRPr="00255861">
        <w:rPr>
          <w:rFonts w:cs="Times New Roman"/>
          <w:b/>
          <w:szCs w:val="24"/>
          <w:lang w:val="fr-CA"/>
        </w:rPr>
        <w:t xml:space="preserve">onorable </w:t>
      </w:r>
      <w:r w:rsidR="007F4BE1" w:rsidRPr="00255861">
        <w:rPr>
          <w:rFonts w:cs="Times New Roman"/>
          <w:b/>
          <w:szCs w:val="24"/>
          <w:lang w:val="fr-CA"/>
        </w:rPr>
        <w:t xml:space="preserve">juge </w:t>
      </w:r>
      <w:r w:rsidRPr="00255861">
        <w:rPr>
          <w:rFonts w:cs="Times New Roman"/>
          <w:b/>
          <w:szCs w:val="24"/>
          <w:lang w:val="fr-CA"/>
        </w:rPr>
        <w:t>Richard Wagner</w:t>
      </w: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r w:rsidRPr="00255861">
        <w:rPr>
          <w:rFonts w:cs="Times New Roman"/>
          <w:b/>
          <w:szCs w:val="24"/>
          <w:lang w:val="fr-CA"/>
        </w:rPr>
        <w:t xml:space="preserve">Cour Suprême du Canada </w:t>
      </w: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r w:rsidRPr="00255861">
        <w:rPr>
          <w:rFonts w:cs="Times New Roman"/>
          <w:b/>
          <w:szCs w:val="24"/>
          <w:lang w:val="fr-CA"/>
        </w:rPr>
        <w:t xml:space="preserve">FONDATION LAFONTAINE-CORMIER </w:t>
      </w: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mallCaps/>
          <w:szCs w:val="24"/>
          <w:lang w:val="fr-CA"/>
        </w:rPr>
      </w:pPr>
      <w:r w:rsidRPr="00255861">
        <w:rPr>
          <w:rFonts w:cs="Times New Roman"/>
          <w:b/>
          <w:smallCaps/>
          <w:szCs w:val="24"/>
          <w:lang w:val="fr-CA"/>
        </w:rPr>
        <w:t>Montréal, Québec</w:t>
      </w:r>
    </w:p>
    <w:p w:rsidR="00B66E19" w:rsidRPr="00255861" w:rsidRDefault="00B66E19" w:rsidP="00B66E19">
      <w:pPr>
        <w:pStyle w:val="ParaNoNdepar-AltN"/>
        <w:numPr>
          <w:ilvl w:val="0"/>
          <w:numId w:val="0"/>
        </w:numPr>
        <w:tabs>
          <w:tab w:val="left" w:pos="708"/>
        </w:tabs>
        <w:spacing w:before="0" w:after="0" w:line="240" w:lineRule="auto"/>
        <w:jc w:val="center"/>
        <w:rPr>
          <w:rFonts w:cs="Times New Roman"/>
          <w:b/>
          <w:szCs w:val="24"/>
          <w:lang w:val="fr-CA"/>
        </w:rPr>
      </w:pPr>
      <w:r w:rsidRPr="00255861">
        <w:rPr>
          <w:rFonts w:cs="Times New Roman"/>
          <w:b/>
          <w:szCs w:val="24"/>
          <w:lang w:val="fr-CA"/>
        </w:rPr>
        <w:t xml:space="preserve">23 octobre 2017 </w:t>
      </w:r>
    </w:p>
    <w:p w:rsidR="00B66E19" w:rsidRPr="00255861" w:rsidRDefault="00B66E19" w:rsidP="00B66E19">
      <w:pPr>
        <w:rPr>
          <w:rFonts w:eastAsiaTheme="minorEastAsia" w:cs="Times New Roman"/>
          <w:b/>
          <w:szCs w:val="24"/>
          <w:lang w:val="fr-CA" w:bidi="ar-SA"/>
        </w:rPr>
        <w:sectPr w:rsidR="00B66E19" w:rsidRPr="00255861">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195" w:left="1800" w:header="1800" w:footer="720" w:gutter="0"/>
          <w:cols w:space="720"/>
        </w:sectPr>
      </w:pPr>
    </w:p>
    <w:p w:rsidR="00FA5327" w:rsidRPr="00255861" w:rsidRDefault="00FA5327" w:rsidP="00B5116A">
      <w:pPr>
        <w:pStyle w:val="ParaNoNdepar-AltN"/>
        <w:numPr>
          <w:ilvl w:val="0"/>
          <w:numId w:val="0"/>
        </w:numPr>
        <w:spacing w:before="0" w:after="0"/>
        <w:rPr>
          <w:rFonts w:cs="Times New Roman"/>
          <w:szCs w:val="24"/>
          <w:lang w:val="fr-CA"/>
        </w:rPr>
      </w:pPr>
      <w:r w:rsidRPr="00255861">
        <w:rPr>
          <w:rFonts w:cs="Times New Roman"/>
          <w:szCs w:val="24"/>
          <w:lang w:val="fr-CA"/>
        </w:rPr>
        <w:lastRenderedPageBreak/>
        <w:t>M</w:t>
      </w:r>
      <w:r w:rsidR="00DD2FAF" w:rsidRPr="00255861">
        <w:rPr>
          <w:rFonts w:cs="Times New Roman"/>
          <w:szCs w:val="24"/>
          <w:lang w:val="fr-CA"/>
        </w:rPr>
        <w:t>adame la juge en chef</w:t>
      </w:r>
      <w:r w:rsidR="00737A12" w:rsidRPr="00255861">
        <w:rPr>
          <w:rFonts w:cs="Times New Roman"/>
          <w:szCs w:val="24"/>
          <w:lang w:val="fr-CA"/>
        </w:rPr>
        <w:t xml:space="preserve"> du Québec et monsieur le Sénateur,</w:t>
      </w:r>
      <w:r w:rsidR="00064B05" w:rsidRPr="00255861">
        <w:rPr>
          <w:rFonts w:cs="Times New Roman"/>
          <w:szCs w:val="24"/>
          <w:lang w:val="fr-CA"/>
        </w:rPr>
        <w:t xml:space="preserve"> </w:t>
      </w:r>
    </w:p>
    <w:p w:rsidR="00DD2FAF" w:rsidRPr="00255861" w:rsidRDefault="00FA5327" w:rsidP="00B5116A">
      <w:pPr>
        <w:pStyle w:val="ParaNoNdepar-AltN"/>
        <w:numPr>
          <w:ilvl w:val="0"/>
          <w:numId w:val="0"/>
        </w:numPr>
        <w:spacing w:before="0" w:after="0"/>
        <w:rPr>
          <w:rFonts w:cs="Times New Roman"/>
          <w:szCs w:val="24"/>
          <w:lang w:val="fr-CA"/>
        </w:rPr>
      </w:pPr>
      <w:r w:rsidRPr="00255861">
        <w:rPr>
          <w:rFonts w:cs="Times New Roman"/>
          <w:szCs w:val="24"/>
          <w:lang w:val="fr-CA"/>
        </w:rPr>
        <w:t>Chers amis de la Fondation :</w:t>
      </w:r>
    </w:p>
    <w:p w:rsidR="00C072D1" w:rsidRPr="00255861" w:rsidRDefault="00C072D1" w:rsidP="00B5116A">
      <w:pPr>
        <w:pStyle w:val="ParaNoNdepar-AltN"/>
        <w:numPr>
          <w:ilvl w:val="0"/>
          <w:numId w:val="0"/>
        </w:numPr>
        <w:spacing w:before="0" w:after="0"/>
        <w:rPr>
          <w:rFonts w:cs="Times New Roman"/>
          <w:szCs w:val="24"/>
          <w:lang w:val="fr-CA"/>
        </w:rPr>
      </w:pPr>
    </w:p>
    <w:p w:rsidR="004032B9" w:rsidRPr="00255861" w:rsidRDefault="00FA5327" w:rsidP="00C072D1">
      <w:pPr>
        <w:pStyle w:val="ParaNoNdepar-AltN"/>
        <w:tabs>
          <w:tab w:val="clear" w:pos="1152"/>
          <w:tab w:val="left" w:pos="1166"/>
        </w:tabs>
        <w:spacing w:before="0" w:after="0"/>
        <w:rPr>
          <w:rFonts w:cs="Times New Roman"/>
          <w:szCs w:val="24"/>
          <w:lang w:val="fr-CA"/>
        </w:rPr>
      </w:pPr>
      <w:r w:rsidRPr="00255861">
        <w:rPr>
          <w:rFonts w:cs="Times New Roman"/>
          <w:szCs w:val="24"/>
          <w:lang w:val="fr-CA"/>
        </w:rPr>
        <w:t xml:space="preserve">Mes </w:t>
      </w:r>
      <w:r w:rsidR="00637D76" w:rsidRPr="00255861">
        <w:rPr>
          <w:rFonts w:cs="Times New Roman"/>
          <w:szCs w:val="24"/>
          <w:lang w:val="fr-CA"/>
        </w:rPr>
        <w:t>r</w:t>
      </w:r>
      <w:r w:rsidR="004032B9" w:rsidRPr="00255861">
        <w:rPr>
          <w:rFonts w:cs="Times New Roman"/>
          <w:szCs w:val="24"/>
          <w:lang w:val="fr-CA"/>
        </w:rPr>
        <w:t xml:space="preserve">emerciements </w:t>
      </w:r>
      <w:r w:rsidR="00064B05" w:rsidRPr="00255861">
        <w:rPr>
          <w:rFonts w:cs="Times New Roman"/>
          <w:szCs w:val="24"/>
          <w:lang w:val="fr-CA"/>
        </w:rPr>
        <w:t xml:space="preserve">bien </w:t>
      </w:r>
      <w:r w:rsidR="004032B9" w:rsidRPr="00255861">
        <w:rPr>
          <w:rFonts w:cs="Times New Roman"/>
          <w:szCs w:val="24"/>
          <w:lang w:val="fr-CA"/>
        </w:rPr>
        <w:t xml:space="preserve">particuliers à vous tous dans la salle qui par votre présence et surtout votre contribution financière, </w:t>
      </w:r>
      <w:r w:rsidR="00064B05" w:rsidRPr="00255861">
        <w:rPr>
          <w:rFonts w:cs="Times New Roman"/>
          <w:szCs w:val="24"/>
          <w:lang w:val="fr-CA"/>
        </w:rPr>
        <w:t xml:space="preserve">avez appuyé </w:t>
      </w:r>
      <w:r w:rsidR="004032B9" w:rsidRPr="00255861">
        <w:rPr>
          <w:rFonts w:cs="Times New Roman"/>
          <w:szCs w:val="24"/>
          <w:lang w:val="fr-CA"/>
        </w:rPr>
        <w:t>une œuvre important</w:t>
      </w:r>
      <w:r w:rsidR="008110F6" w:rsidRPr="00255861">
        <w:rPr>
          <w:rFonts w:cs="Times New Roman"/>
          <w:szCs w:val="24"/>
          <w:lang w:val="fr-CA"/>
        </w:rPr>
        <w:t>e</w:t>
      </w:r>
      <w:r w:rsidR="004032B9" w:rsidRPr="00255861">
        <w:rPr>
          <w:rFonts w:cs="Times New Roman"/>
          <w:szCs w:val="24"/>
          <w:lang w:val="fr-CA"/>
        </w:rPr>
        <w:t xml:space="preserve"> pour la valorisation et la protection de notre héritage patrimonial et judiciaire.</w:t>
      </w:r>
    </w:p>
    <w:p w:rsidR="00C072D1" w:rsidRPr="00255861" w:rsidRDefault="00C072D1" w:rsidP="00C072D1">
      <w:pPr>
        <w:pStyle w:val="ParaNoNdepar-AltN"/>
        <w:numPr>
          <w:ilvl w:val="0"/>
          <w:numId w:val="0"/>
        </w:numPr>
        <w:spacing w:before="0" w:after="0"/>
        <w:rPr>
          <w:rFonts w:cs="Times New Roman"/>
          <w:szCs w:val="24"/>
          <w:lang w:val="fr-CA"/>
        </w:rPr>
      </w:pPr>
    </w:p>
    <w:p w:rsidR="004032B9" w:rsidRPr="00255861" w:rsidRDefault="004032B9" w:rsidP="00C072D1">
      <w:pPr>
        <w:pStyle w:val="ParaNoNdepar-AltN"/>
        <w:tabs>
          <w:tab w:val="clear" w:pos="1152"/>
          <w:tab w:val="left" w:pos="1166"/>
        </w:tabs>
        <w:spacing w:before="0" w:after="0"/>
        <w:rPr>
          <w:rFonts w:cs="Times New Roman"/>
          <w:szCs w:val="24"/>
          <w:lang w:val="fr-CA"/>
        </w:rPr>
      </w:pPr>
      <w:r w:rsidRPr="00255861">
        <w:rPr>
          <w:rFonts w:cs="Times New Roman"/>
          <w:szCs w:val="24"/>
          <w:lang w:val="fr-CA"/>
        </w:rPr>
        <w:t>Je n’ai pas hésité lon</w:t>
      </w:r>
      <w:r w:rsidR="00C5008B" w:rsidRPr="00255861">
        <w:rPr>
          <w:rFonts w:cs="Times New Roman"/>
          <w:szCs w:val="24"/>
          <w:lang w:val="fr-CA"/>
        </w:rPr>
        <w:t>gtemps avant d’accepter l’invitation du Sénateur Joyal</w:t>
      </w:r>
      <w:r w:rsidR="00BB770D" w:rsidRPr="00255861">
        <w:rPr>
          <w:rFonts w:cs="Times New Roman"/>
          <w:szCs w:val="24"/>
          <w:lang w:val="fr-CA"/>
        </w:rPr>
        <w:t xml:space="preserve">, </w:t>
      </w:r>
      <w:r w:rsidR="00C5008B" w:rsidRPr="00255861">
        <w:rPr>
          <w:rFonts w:cs="Times New Roman"/>
          <w:szCs w:val="24"/>
          <w:lang w:val="fr-CA"/>
        </w:rPr>
        <w:t>et ce pour plusieurs raisons. La première relève de mon côté nostalgique. En effet comme certains le savent déjà, j’ai mis pour la première fois les pieds</w:t>
      </w:r>
      <w:r w:rsidR="00102543" w:rsidRPr="00255861">
        <w:rPr>
          <w:rFonts w:cs="Times New Roman"/>
          <w:szCs w:val="24"/>
          <w:lang w:val="fr-CA"/>
        </w:rPr>
        <w:t xml:space="preserve"> dans cet édifice à l’âge de 7 ans alors que mon père m’y amenait pour la première fois. J’y suis revenu lors de ma nomination à la Cour d’appel en 2010 et c’est toujours avec un brin de nostalgie que j’y reviens depuis. Mais il existe une raison plus fondamentale : c’est la </w:t>
      </w:r>
      <w:r w:rsidR="00064B05" w:rsidRPr="00255861">
        <w:rPr>
          <w:rFonts w:cs="Times New Roman"/>
          <w:szCs w:val="24"/>
          <w:lang w:val="fr-CA"/>
        </w:rPr>
        <w:t>possibilité de contribuer</w:t>
      </w:r>
      <w:r w:rsidR="00FA5327" w:rsidRPr="00255861">
        <w:rPr>
          <w:rFonts w:cs="Times New Roman"/>
          <w:szCs w:val="24"/>
          <w:lang w:val="fr-CA"/>
        </w:rPr>
        <w:t xml:space="preserve"> même humblement à </w:t>
      </w:r>
      <w:r w:rsidR="00064B05" w:rsidRPr="00255861">
        <w:rPr>
          <w:rFonts w:cs="Times New Roman"/>
          <w:szCs w:val="24"/>
          <w:lang w:val="fr-CA"/>
        </w:rPr>
        <w:t xml:space="preserve">la </w:t>
      </w:r>
      <w:r w:rsidR="00102543" w:rsidRPr="00255861">
        <w:rPr>
          <w:rFonts w:cs="Times New Roman"/>
          <w:szCs w:val="24"/>
          <w:lang w:val="fr-CA"/>
        </w:rPr>
        <w:t xml:space="preserve">volonté de protéger et de valoriser notre patrimoine et notre héritage judiciaire et culturel. </w:t>
      </w:r>
    </w:p>
    <w:p w:rsidR="00162312" w:rsidRPr="00255861" w:rsidRDefault="0030199A" w:rsidP="00162312">
      <w:pPr>
        <w:pStyle w:val="ParaNoNdepar-AltN"/>
        <w:rPr>
          <w:rFonts w:cs="Times New Roman"/>
          <w:szCs w:val="24"/>
          <w:lang w:val="fr-CA"/>
        </w:rPr>
      </w:pPr>
      <w:r w:rsidRPr="00255861">
        <w:rPr>
          <w:rFonts w:cs="Times New Roman"/>
          <w:szCs w:val="24"/>
          <w:lang w:val="fr-CA"/>
        </w:rPr>
        <w:t>Vous avez sûrement remarqué que l’archi</w:t>
      </w:r>
      <w:r w:rsidR="007F4BE1" w:rsidRPr="00255861">
        <w:rPr>
          <w:rFonts w:cs="Times New Roman"/>
          <w:szCs w:val="24"/>
          <w:lang w:val="fr-CA"/>
        </w:rPr>
        <w:t>tecture de l’</w:t>
      </w:r>
      <w:r w:rsidRPr="00255861">
        <w:rPr>
          <w:rFonts w:cs="Times New Roman"/>
          <w:szCs w:val="24"/>
          <w:lang w:val="fr-CA"/>
        </w:rPr>
        <w:t>édifice</w:t>
      </w:r>
      <w:r w:rsidR="006D2145" w:rsidRPr="00255861">
        <w:rPr>
          <w:rFonts w:cs="Times New Roman"/>
          <w:szCs w:val="24"/>
          <w:lang w:val="fr-CA"/>
        </w:rPr>
        <w:t xml:space="preserve"> dans lequel on se trouve</w:t>
      </w:r>
      <w:r w:rsidR="0074709A" w:rsidRPr="00255861">
        <w:rPr>
          <w:rFonts w:cs="Times New Roman"/>
          <w:szCs w:val="24"/>
          <w:lang w:val="fr-CA"/>
        </w:rPr>
        <w:t xml:space="preserve"> e</w:t>
      </w:r>
      <w:r w:rsidR="00585092" w:rsidRPr="00255861">
        <w:rPr>
          <w:rFonts w:cs="Times New Roman"/>
          <w:szCs w:val="24"/>
          <w:lang w:val="fr-CA"/>
        </w:rPr>
        <w:t>st de facture néoclassiq</w:t>
      </w:r>
      <w:r w:rsidR="00A5132B" w:rsidRPr="00255861">
        <w:rPr>
          <w:rFonts w:cs="Times New Roman"/>
          <w:szCs w:val="24"/>
          <w:lang w:val="fr-CA"/>
        </w:rPr>
        <w:t>u</w:t>
      </w:r>
      <w:r w:rsidR="00F327CF" w:rsidRPr="00255861">
        <w:rPr>
          <w:rFonts w:cs="Times New Roman"/>
          <w:szCs w:val="24"/>
          <w:lang w:val="fr-CA"/>
        </w:rPr>
        <w:t>e</w:t>
      </w:r>
      <w:r w:rsidRPr="00255861">
        <w:rPr>
          <w:rFonts w:cs="Times New Roman"/>
          <w:szCs w:val="24"/>
          <w:lang w:val="fr-CA"/>
        </w:rPr>
        <w:t xml:space="preserve">. </w:t>
      </w:r>
      <w:r w:rsidR="00162312" w:rsidRPr="00255861">
        <w:rPr>
          <w:rFonts w:cs="Times New Roman"/>
          <w:szCs w:val="24"/>
          <w:lang w:val="fr-CA"/>
        </w:rPr>
        <w:t xml:space="preserve">En adoptant des éléments architecturaux de l’Antiquité, Ernest Cormier a donné une certaine </w:t>
      </w:r>
      <w:r w:rsidR="00102543" w:rsidRPr="00255861">
        <w:rPr>
          <w:rFonts w:cs="Times New Roman"/>
          <w:szCs w:val="24"/>
          <w:lang w:val="fr-CA"/>
        </w:rPr>
        <w:t xml:space="preserve">étendue </w:t>
      </w:r>
      <w:r w:rsidR="00162312" w:rsidRPr="00255861">
        <w:rPr>
          <w:rFonts w:cs="Times New Roman"/>
          <w:szCs w:val="24"/>
          <w:lang w:val="fr-CA"/>
        </w:rPr>
        <w:t xml:space="preserve">temporelle à la vocation judiciaire de </w:t>
      </w:r>
      <w:r w:rsidR="00102543" w:rsidRPr="00255861">
        <w:rPr>
          <w:rFonts w:cs="Times New Roman"/>
          <w:szCs w:val="24"/>
          <w:lang w:val="fr-CA"/>
        </w:rPr>
        <w:t>l’</w:t>
      </w:r>
      <w:r w:rsidR="00162312" w:rsidRPr="00255861">
        <w:rPr>
          <w:rFonts w:cs="Times New Roman"/>
          <w:szCs w:val="24"/>
          <w:lang w:val="fr-CA"/>
        </w:rPr>
        <w:t>immeuble</w:t>
      </w:r>
      <w:r w:rsidR="004E431C" w:rsidRPr="00255861">
        <w:rPr>
          <w:rFonts w:cs="Times New Roman"/>
          <w:szCs w:val="24"/>
          <w:lang w:val="fr-CA"/>
        </w:rPr>
        <w:t>,</w:t>
      </w:r>
      <w:r w:rsidR="00162312" w:rsidRPr="00255861">
        <w:rPr>
          <w:rFonts w:cs="Times New Roman"/>
          <w:szCs w:val="24"/>
          <w:lang w:val="fr-CA"/>
        </w:rPr>
        <w:t xml:space="preserve"> où siège aujourd’hui la Cour d’appel du Québec. C’est ainsi que</w:t>
      </w:r>
      <w:r w:rsidR="00737B6F" w:rsidRPr="00255861">
        <w:rPr>
          <w:rFonts w:cs="Times New Roman"/>
          <w:szCs w:val="24"/>
          <w:lang w:val="fr-CA"/>
        </w:rPr>
        <w:t xml:space="preserve"> la série de colonnes sans fronton évoque la galerie d’une</w:t>
      </w:r>
      <w:r w:rsidR="00162312" w:rsidRPr="00255861">
        <w:rPr>
          <w:rFonts w:cs="Times New Roman"/>
          <w:szCs w:val="24"/>
          <w:lang w:val="fr-CA"/>
        </w:rPr>
        <w:t xml:space="preserve"> basilique romaine, lieu de prédilection pour le traitement des affaires judiciaires à l’époque de l’Empire</w:t>
      </w:r>
      <w:r w:rsidR="00162312" w:rsidRPr="00255861">
        <w:rPr>
          <w:rStyle w:val="Appelnotedebasdep"/>
          <w:rFonts w:cs="Times New Roman"/>
          <w:szCs w:val="24"/>
          <w:lang w:val="fr-CA"/>
        </w:rPr>
        <w:footnoteReference w:id="1"/>
      </w:r>
      <w:r w:rsidR="00162312" w:rsidRPr="00255861">
        <w:rPr>
          <w:rFonts w:cs="Times New Roman"/>
          <w:szCs w:val="24"/>
          <w:lang w:val="fr-CA"/>
        </w:rPr>
        <w:t xml:space="preserve">. </w:t>
      </w:r>
    </w:p>
    <w:p w:rsidR="0030199A" w:rsidRPr="00255861" w:rsidRDefault="00064B05" w:rsidP="0030199A">
      <w:pPr>
        <w:pStyle w:val="ParaNoNdepar-AltN"/>
        <w:rPr>
          <w:rFonts w:cs="Times New Roman"/>
          <w:szCs w:val="24"/>
          <w:lang w:val="fr-CA"/>
        </w:rPr>
      </w:pPr>
      <w:r w:rsidRPr="00255861">
        <w:rPr>
          <w:rFonts w:cs="Times New Roman"/>
          <w:szCs w:val="24"/>
          <w:lang w:val="fr-CA"/>
        </w:rPr>
        <w:lastRenderedPageBreak/>
        <w:t xml:space="preserve">L’aspect majestueux </w:t>
      </w:r>
      <w:r w:rsidR="00162312" w:rsidRPr="00255861">
        <w:rPr>
          <w:rFonts w:cs="Times New Roman"/>
          <w:szCs w:val="24"/>
          <w:lang w:val="fr-CA"/>
        </w:rPr>
        <w:t>de cet édifice</w:t>
      </w:r>
      <w:r w:rsidR="00F327CF" w:rsidRPr="00255861">
        <w:rPr>
          <w:rFonts w:cs="Times New Roman"/>
          <w:szCs w:val="24"/>
          <w:lang w:val="fr-CA"/>
        </w:rPr>
        <w:t xml:space="preserve"> n’est</w:t>
      </w:r>
      <w:r w:rsidR="0030199A" w:rsidRPr="00255861">
        <w:rPr>
          <w:rFonts w:cs="Times New Roman"/>
          <w:szCs w:val="24"/>
          <w:lang w:val="fr-CA"/>
        </w:rPr>
        <w:t xml:space="preserve"> pas</w:t>
      </w:r>
      <w:r w:rsidR="00F327CF" w:rsidRPr="00255861">
        <w:rPr>
          <w:rFonts w:cs="Times New Roman"/>
          <w:szCs w:val="24"/>
          <w:lang w:val="fr-CA"/>
        </w:rPr>
        <w:t xml:space="preserve"> sans rappele</w:t>
      </w:r>
      <w:r w:rsidR="00255861" w:rsidRPr="00255861">
        <w:rPr>
          <w:rFonts w:cs="Times New Roman"/>
          <w:szCs w:val="24"/>
          <w:lang w:val="fr-CA"/>
        </w:rPr>
        <w:t>r</w:t>
      </w:r>
      <w:r w:rsidR="00255861">
        <w:rPr>
          <w:rFonts w:cs="Times New Roman"/>
          <w:szCs w:val="24"/>
          <w:lang w:val="fr-CA"/>
        </w:rPr>
        <w:t xml:space="preserve"> </w:t>
      </w:r>
      <w:r w:rsidR="00255861" w:rsidRPr="00255861">
        <w:rPr>
          <w:rFonts w:cs="Times New Roman"/>
          <w:szCs w:val="24"/>
          <w:lang w:val="fr-CA"/>
        </w:rPr>
        <w:t>c</w:t>
      </w:r>
      <w:r w:rsidRPr="00255861">
        <w:rPr>
          <w:rFonts w:cs="Times New Roman"/>
          <w:szCs w:val="24"/>
          <w:lang w:val="fr-CA"/>
        </w:rPr>
        <w:t xml:space="preserve">elui </w:t>
      </w:r>
      <w:r w:rsidR="00162312" w:rsidRPr="00255861">
        <w:rPr>
          <w:rFonts w:cs="Times New Roman"/>
          <w:szCs w:val="24"/>
          <w:lang w:val="fr-CA"/>
        </w:rPr>
        <w:t>du</w:t>
      </w:r>
      <w:r w:rsidR="0030199A" w:rsidRPr="00255861">
        <w:rPr>
          <w:rFonts w:cs="Times New Roman"/>
          <w:szCs w:val="24"/>
          <w:lang w:val="fr-CA"/>
        </w:rPr>
        <w:t xml:space="preserve"> Vieu</w:t>
      </w:r>
      <w:r w:rsidR="00162312" w:rsidRPr="00255861">
        <w:rPr>
          <w:rFonts w:cs="Times New Roman"/>
          <w:szCs w:val="24"/>
          <w:lang w:val="fr-CA"/>
        </w:rPr>
        <w:t xml:space="preserve">x </w:t>
      </w:r>
      <w:r w:rsidR="0024210E" w:rsidRPr="00255861">
        <w:rPr>
          <w:rFonts w:cs="Times New Roman"/>
          <w:szCs w:val="24"/>
          <w:lang w:val="fr-CA"/>
        </w:rPr>
        <w:t>P</w:t>
      </w:r>
      <w:r w:rsidR="00162312" w:rsidRPr="00255861">
        <w:rPr>
          <w:rFonts w:cs="Times New Roman"/>
          <w:szCs w:val="24"/>
          <w:lang w:val="fr-CA"/>
        </w:rPr>
        <w:t>alais de Justice de Montréal</w:t>
      </w:r>
      <w:r w:rsidR="00974059" w:rsidRPr="00255861">
        <w:rPr>
          <w:rFonts w:cs="Times New Roman"/>
          <w:szCs w:val="24"/>
          <w:lang w:val="fr-CA"/>
        </w:rPr>
        <w:t xml:space="preserve"> qui se trouve juste en face de celui-ci sur la rue Notre-Dame. C</w:t>
      </w:r>
      <w:r w:rsidR="0030199A" w:rsidRPr="00255861">
        <w:rPr>
          <w:rFonts w:cs="Times New Roman"/>
          <w:szCs w:val="24"/>
          <w:lang w:val="fr-CA"/>
        </w:rPr>
        <w:t>onstruit</w:t>
      </w:r>
      <w:r w:rsidR="0024210E" w:rsidRPr="00255861">
        <w:rPr>
          <w:rFonts w:cs="Times New Roman"/>
          <w:szCs w:val="24"/>
          <w:lang w:val="fr-CA"/>
        </w:rPr>
        <w:t xml:space="preserve"> </w:t>
      </w:r>
      <w:r w:rsidR="0030199A" w:rsidRPr="00255861">
        <w:rPr>
          <w:rFonts w:cs="Times New Roman"/>
          <w:szCs w:val="24"/>
          <w:lang w:val="fr-CA"/>
        </w:rPr>
        <w:t>au milieu du XIXe</w:t>
      </w:r>
      <w:r w:rsidR="00F63C96" w:rsidRPr="00255861">
        <w:rPr>
          <w:rFonts w:cs="Times New Roman"/>
          <w:szCs w:val="24"/>
          <w:lang w:val="fr-CA"/>
        </w:rPr>
        <w:t xml:space="preserve"> siècle</w:t>
      </w:r>
      <w:r w:rsidR="00102543" w:rsidRPr="00255861">
        <w:rPr>
          <w:rFonts w:cs="Times New Roman"/>
          <w:szCs w:val="24"/>
          <w:lang w:val="fr-CA"/>
        </w:rPr>
        <w:t>,</w:t>
      </w:r>
      <w:r w:rsidR="00974059" w:rsidRPr="00255861">
        <w:rPr>
          <w:rFonts w:cs="Times New Roman"/>
          <w:szCs w:val="24"/>
          <w:lang w:val="fr-CA"/>
        </w:rPr>
        <w:t xml:space="preserve"> i</w:t>
      </w:r>
      <w:r w:rsidR="00162312" w:rsidRPr="00255861">
        <w:rPr>
          <w:rFonts w:cs="Times New Roman"/>
          <w:szCs w:val="24"/>
          <w:lang w:val="fr-CA"/>
        </w:rPr>
        <w:t>l est</w:t>
      </w:r>
      <w:r w:rsidR="0030199A" w:rsidRPr="00255861">
        <w:rPr>
          <w:rFonts w:cs="Times New Roman"/>
          <w:szCs w:val="24"/>
          <w:lang w:val="fr-CA"/>
        </w:rPr>
        <w:t xml:space="preserve"> lui-même </w:t>
      </w:r>
      <w:r w:rsidR="00102543" w:rsidRPr="00255861">
        <w:rPr>
          <w:rFonts w:cs="Times New Roman"/>
          <w:szCs w:val="24"/>
          <w:lang w:val="fr-CA"/>
        </w:rPr>
        <w:t>l’</w:t>
      </w:r>
      <w:r w:rsidR="0030199A" w:rsidRPr="00255861">
        <w:rPr>
          <w:rFonts w:cs="Times New Roman"/>
          <w:szCs w:val="24"/>
          <w:lang w:val="fr-CA"/>
        </w:rPr>
        <w:t xml:space="preserve">un des derniers </w:t>
      </w:r>
      <w:r w:rsidR="00F63C96" w:rsidRPr="00255861">
        <w:rPr>
          <w:rFonts w:cs="Times New Roman"/>
          <w:szCs w:val="24"/>
          <w:lang w:val="fr-CA"/>
        </w:rPr>
        <w:t xml:space="preserve">vestiges du </w:t>
      </w:r>
      <w:r w:rsidR="00162312" w:rsidRPr="00255861">
        <w:rPr>
          <w:rFonts w:cs="Times New Roman"/>
          <w:szCs w:val="24"/>
          <w:lang w:val="fr-CA"/>
        </w:rPr>
        <w:t xml:space="preserve">néoclassicisme </w:t>
      </w:r>
      <w:r w:rsidR="00F63C96" w:rsidRPr="00255861">
        <w:rPr>
          <w:rFonts w:cs="Times New Roman"/>
          <w:szCs w:val="24"/>
          <w:lang w:val="fr-CA"/>
        </w:rPr>
        <w:t xml:space="preserve">dans le paysage </w:t>
      </w:r>
      <w:r w:rsidR="0030199A" w:rsidRPr="00255861">
        <w:rPr>
          <w:rFonts w:cs="Times New Roman"/>
          <w:szCs w:val="24"/>
          <w:lang w:val="fr-CA"/>
        </w:rPr>
        <w:t>montréalais</w:t>
      </w:r>
      <w:r w:rsidR="0030199A" w:rsidRPr="00255861">
        <w:rPr>
          <w:rStyle w:val="Appelnotedebasdep"/>
          <w:rFonts w:cs="Times New Roman"/>
          <w:szCs w:val="24"/>
        </w:rPr>
        <w:footnoteReference w:id="2"/>
      </w:r>
      <w:r w:rsidR="0030199A" w:rsidRPr="00255861">
        <w:rPr>
          <w:rFonts w:cs="Times New Roman"/>
          <w:szCs w:val="24"/>
          <w:lang w:val="fr-CA"/>
        </w:rPr>
        <w:t xml:space="preserve">. Je tiens à souligner les efforts </w:t>
      </w:r>
      <w:r w:rsidR="007A3174" w:rsidRPr="00255861">
        <w:rPr>
          <w:rFonts w:cs="Times New Roman"/>
          <w:szCs w:val="24"/>
          <w:lang w:val="fr-CA"/>
        </w:rPr>
        <w:t xml:space="preserve">louables </w:t>
      </w:r>
      <w:r w:rsidR="0030199A" w:rsidRPr="00255861">
        <w:rPr>
          <w:rFonts w:cs="Times New Roman"/>
          <w:szCs w:val="24"/>
          <w:lang w:val="fr-CA"/>
        </w:rPr>
        <w:t xml:space="preserve">qui </w:t>
      </w:r>
      <w:r w:rsidRPr="00255861">
        <w:rPr>
          <w:rFonts w:cs="Times New Roman"/>
          <w:szCs w:val="24"/>
          <w:lang w:val="fr-CA"/>
        </w:rPr>
        <w:t xml:space="preserve">à ma connaissance </w:t>
      </w:r>
      <w:r w:rsidR="0030199A" w:rsidRPr="00255861">
        <w:rPr>
          <w:rFonts w:cs="Times New Roman"/>
          <w:szCs w:val="24"/>
          <w:lang w:val="fr-CA"/>
        </w:rPr>
        <w:t xml:space="preserve">sont </w:t>
      </w:r>
      <w:r w:rsidR="00102543" w:rsidRPr="00255861">
        <w:rPr>
          <w:rFonts w:cs="Times New Roman"/>
          <w:szCs w:val="24"/>
          <w:lang w:val="fr-CA"/>
        </w:rPr>
        <w:t xml:space="preserve">entrepris </w:t>
      </w:r>
      <w:r w:rsidR="0030199A" w:rsidRPr="00255861">
        <w:rPr>
          <w:rFonts w:cs="Times New Roman"/>
          <w:szCs w:val="24"/>
          <w:lang w:val="fr-CA"/>
        </w:rPr>
        <w:t xml:space="preserve">par la fondation Lafontaine-Cormier </w:t>
      </w:r>
      <w:r w:rsidR="00102543" w:rsidRPr="00255861">
        <w:rPr>
          <w:rFonts w:cs="Times New Roman"/>
          <w:szCs w:val="24"/>
          <w:lang w:val="fr-CA"/>
        </w:rPr>
        <w:t xml:space="preserve">et </w:t>
      </w:r>
      <w:r w:rsidR="008110F6" w:rsidRPr="00255861">
        <w:rPr>
          <w:rFonts w:cs="Times New Roman"/>
          <w:szCs w:val="24"/>
          <w:lang w:val="fr-CA"/>
        </w:rPr>
        <w:t>s</w:t>
      </w:r>
      <w:r w:rsidR="00102543" w:rsidRPr="00255861">
        <w:rPr>
          <w:rFonts w:cs="Times New Roman"/>
          <w:szCs w:val="24"/>
          <w:lang w:val="fr-CA"/>
        </w:rPr>
        <w:t xml:space="preserve">es administrateurs </w:t>
      </w:r>
      <w:r w:rsidR="0030199A" w:rsidRPr="00255861">
        <w:rPr>
          <w:rFonts w:cs="Times New Roman"/>
          <w:szCs w:val="24"/>
          <w:lang w:val="fr-CA"/>
        </w:rPr>
        <w:t>pour</w:t>
      </w:r>
      <w:r w:rsidR="0024210E" w:rsidRPr="00255861">
        <w:rPr>
          <w:rFonts w:cs="Times New Roman"/>
          <w:szCs w:val="24"/>
          <w:lang w:val="fr-CA"/>
        </w:rPr>
        <w:t xml:space="preserve"> lui</w:t>
      </w:r>
      <w:r w:rsidR="0030199A" w:rsidRPr="00255861">
        <w:rPr>
          <w:rFonts w:cs="Times New Roman"/>
          <w:szCs w:val="24"/>
          <w:lang w:val="fr-CA"/>
        </w:rPr>
        <w:t xml:space="preserve"> </w:t>
      </w:r>
      <w:r w:rsidR="00162312" w:rsidRPr="00255861">
        <w:rPr>
          <w:rFonts w:cs="Times New Roman"/>
          <w:szCs w:val="24"/>
          <w:lang w:val="fr-CA"/>
        </w:rPr>
        <w:t xml:space="preserve">rendre </w:t>
      </w:r>
      <w:r w:rsidR="0030199A" w:rsidRPr="00255861">
        <w:rPr>
          <w:rFonts w:cs="Times New Roman"/>
          <w:szCs w:val="24"/>
          <w:lang w:val="fr-CA"/>
        </w:rPr>
        <w:t xml:space="preserve">sa mission première, </w:t>
      </w:r>
      <w:r w:rsidR="00102543" w:rsidRPr="00255861">
        <w:rPr>
          <w:rFonts w:cs="Times New Roman"/>
          <w:szCs w:val="24"/>
          <w:lang w:val="fr-CA"/>
        </w:rPr>
        <w:t xml:space="preserve">soit </w:t>
      </w:r>
      <w:r w:rsidR="0030199A" w:rsidRPr="00255861">
        <w:rPr>
          <w:rFonts w:cs="Times New Roman"/>
          <w:szCs w:val="24"/>
          <w:lang w:val="fr-CA"/>
        </w:rPr>
        <w:t xml:space="preserve">l’hébergement de l’administration de la justice. </w:t>
      </w:r>
      <w:r w:rsidR="00102543" w:rsidRPr="00255861">
        <w:rPr>
          <w:rFonts w:cs="Times New Roman"/>
          <w:szCs w:val="24"/>
          <w:lang w:val="fr-CA"/>
        </w:rPr>
        <w:t xml:space="preserve">Je les félicite, les appuie et les encourage à </w:t>
      </w:r>
      <w:r w:rsidR="008110F6" w:rsidRPr="00255861">
        <w:rPr>
          <w:rFonts w:cs="Times New Roman"/>
          <w:szCs w:val="24"/>
          <w:lang w:val="fr-CA"/>
        </w:rPr>
        <w:t xml:space="preserve">poursuivre la protection </w:t>
      </w:r>
      <w:r w:rsidR="00113340" w:rsidRPr="00255861">
        <w:rPr>
          <w:rFonts w:cs="Times New Roman"/>
          <w:szCs w:val="24"/>
          <w:lang w:val="fr-CA"/>
        </w:rPr>
        <w:t xml:space="preserve">de notre </w:t>
      </w:r>
      <w:r w:rsidR="008110F6" w:rsidRPr="00255861">
        <w:rPr>
          <w:rFonts w:cs="Times New Roman"/>
          <w:szCs w:val="24"/>
          <w:lang w:val="fr-CA"/>
        </w:rPr>
        <w:t>héritage</w:t>
      </w:r>
      <w:r w:rsidR="00113340" w:rsidRPr="00255861">
        <w:rPr>
          <w:rFonts w:cs="Times New Roman"/>
          <w:szCs w:val="24"/>
          <w:lang w:val="fr-CA"/>
        </w:rPr>
        <w:t xml:space="preserve"> judiciaire q</w:t>
      </w:r>
      <w:r w:rsidR="004D1553" w:rsidRPr="00255861">
        <w:rPr>
          <w:rFonts w:cs="Times New Roman"/>
          <w:szCs w:val="24"/>
          <w:lang w:val="fr-CA"/>
        </w:rPr>
        <w:t xml:space="preserve">ui forme </w:t>
      </w:r>
      <w:r w:rsidR="008110F6" w:rsidRPr="00255861">
        <w:rPr>
          <w:rFonts w:cs="Times New Roman"/>
          <w:szCs w:val="24"/>
          <w:lang w:val="fr-CA"/>
        </w:rPr>
        <w:t>n</w:t>
      </w:r>
      <w:r w:rsidR="004D1553" w:rsidRPr="00255861">
        <w:rPr>
          <w:rFonts w:cs="Times New Roman"/>
          <w:szCs w:val="24"/>
          <w:lang w:val="fr-CA"/>
        </w:rPr>
        <w:t>otre identité</w:t>
      </w:r>
      <w:r w:rsidR="00113340" w:rsidRPr="00255861">
        <w:rPr>
          <w:rFonts w:cs="Times New Roman"/>
          <w:szCs w:val="24"/>
          <w:lang w:val="fr-CA"/>
        </w:rPr>
        <w:t>.</w:t>
      </w:r>
    </w:p>
    <w:p w:rsidR="00374EC8" w:rsidRPr="00255861" w:rsidRDefault="0024210E" w:rsidP="00090D0C">
      <w:pPr>
        <w:pStyle w:val="ParaNoNdepar-AltN"/>
        <w:rPr>
          <w:rFonts w:cs="Times New Roman"/>
          <w:szCs w:val="24"/>
          <w:lang w:val="fr-CA"/>
        </w:rPr>
      </w:pPr>
      <w:r w:rsidRPr="00255861">
        <w:rPr>
          <w:rFonts w:cs="Times New Roman"/>
          <w:szCs w:val="24"/>
          <w:lang w:val="fr-CA"/>
        </w:rPr>
        <w:t xml:space="preserve">Le préfixe </w:t>
      </w:r>
      <w:r w:rsidRPr="00255861">
        <w:rPr>
          <w:rFonts w:cs="Times New Roman"/>
          <w:i/>
          <w:szCs w:val="24"/>
          <w:lang w:val="fr-CA"/>
        </w:rPr>
        <w:t>néo-</w:t>
      </w:r>
      <w:r w:rsidRPr="00255861">
        <w:rPr>
          <w:rFonts w:cs="Times New Roman"/>
          <w:szCs w:val="24"/>
          <w:lang w:val="fr-CA"/>
        </w:rPr>
        <w:t xml:space="preserve"> du grec </w:t>
      </w:r>
      <w:r w:rsidRPr="00255861">
        <w:rPr>
          <w:rFonts w:cs="Times New Roman"/>
          <w:i/>
          <w:szCs w:val="24"/>
          <w:lang w:val="fr-CA"/>
        </w:rPr>
        <w:t>neos</w:t>
      </w:r>
      <w:r w:rsidRPr="00255861">
        <w:rPr>
          <w:rFonts w:cs="Times New Roman"/>
          <w:szCs w:val="24"/>
          <w:lang w:val="fr-CA"/>
        </w:rPr>
        <w:t xml:space="preserve"> signifie « nouveau ». Le mouvement néoclass</w:t>
      </w:r>
      <w:r w:rsidR="006D2145" w:rsidRPr="00255861">
        <w:rPr>
          <w:rFonts w:cs="Times New Roman"/>
          <w:szCs w:val="24"/>
          <w:lang w:val="fr-CA"/>
        </w:rPr>
        <w:t>ique vise donc à donner, par l’entremise des</w:t>
      </w:r>
      <w:r w:rsidRPr="00255861">
        <w:rPr>
          <w:rFonts w:cs="Times New Roman"/>
          <w:szCs w:val="24"/>
          <w:lang w:val="fr-CA"/>
        </w:rPr>
        <w:t xml:space="preserve"> créations d’aujourd’hui, une résonance aux richesses culturelles qui nous </w:t>
      </w:r>
      <w:r w:rsidR="006D2145" w:rsidRPr="00255861">
        <w:rPr>
          <w:rFonts w:cs="Times New Roman"/>
          <w:szCs w:val="24"/>
          <w:lang w:val="fr-CA"/>
        </w:rPr>
        <w:t>viennent</w:t>
      </w:r>
      <w:r w:rsidRPr="00255861">
        <w:rPr>
          <w:rFonts w:cs="Times New Roman"/>
          <w:szCs w:val="24"/>
          <w:lang w:val="fr-CA"/>
        </w:rPr>
        <w:t xml:space="preserve"> de l’Antiquité. </w:t>
      </w:r>
      <w:r w:rsidR="00BA294A" w:rsidRPr="00255861">
        <w:rPr>
          <w:rFonts w:cs="Times New Roman"/>
          <w:szCs w:val="24"/>
          <w:lang w:val="fr-CA"/>
        </w:rPr>
        <w:t>Ce clin d’œil architectural n’est pas anodin</w:t>
      </w:r>
      <w:r w:rsidR="006D2145" w:rsidRPr="00255861">
        <w:rPr>
          <w:rFonts w:cs="Times New Roman"/>
          <w:szCs w:val="24"/>
          <w:lang w:val="fr-CA"/>
        </w:rPr>
        <w:t>.</w:t>
      </w:r>
      <w:r w:rsidR="00735E62" w:rsidRPr="00255861">
        <w:rPr>
          <w:rFonts w:cs="Times New Roman"/>
          <w:szCs w:val="24"/>
          <w:lang w:val="fr-CA"/>
        </w:rPr>
        <w:t xml:space="preserve"> </w:t>
      </w:r>
      <w:r w:rsidR="00E50D9E" w:rsidRPr="00255861">
        <w:rPr>
          <w:rFonts w:cs="Times New Roman"/>
          <w:szCs w:val="24"/>
          <w:lang w:val="fr-CA"/>
        </w:rPr>
        <w:t xml:space="preserve">L’héritage, qu’il soit architectural ou juridique, consiste en un patrimoine qui nous est confié par </w:t>
      </w:r>
      <w:r w:rsidR="00E76060" w:rsidRPr="00255861">
        <w:rPr>
          <w:rFonts w:cs="Times New Roman"/>
          <w:szCs w:val="24"/>
          <w:lang w:val="fr-CA"/>
        </w:rPr>
        <w:t>ceux qui nous précèdent</w:t>
      </w:r>
      <w:r w:rsidR="00E50D9E" w:rsidRPr="00255861">
        <w:rPr>
          <w:rFonts w:cs="Times New Roman"/>
          <w:szCs w:val="24"/>
          <w:lang w:val="fr-CA"/>
        </w:rPr>
        <w:t xml:space="preserve">, que nous devons adapter à nos </w:t>
      </w:r>
      <w:r w:rsidR="00E76060" w:rsidRPr="00255861">
        <w:rPr>
          <w:rFonts w:cs="Times New Roman"/>
          <w:szCs w:val="24"/>
          <w:lang w:val="fr-CA"/>
        </w:rPr>
        <w:t xml:space="preserve">propres </w:t>
      </w:r>
      <w:r w:rsidR="00E50D9E" w:rsidRPr="00255861">
        <w:rPr>
          <w:rFonts w:cs="Times New Roman"/>
          <w:szCs w:val="24"/>
          <w:lang w:val="fr-CA"/>
        </w:rPr>
        <w:t>aspirations</w:t>
      </w:r>
      <w:r w:rsidR="00374EC8" w:rsidRPr="00255861">
        <w:rPr>
          <w:rFonts w:cs="Times New Roman"/>
          <w:szCs w:val="24"/>
          <w:lang w:val="fr-CA"/>
        </w:rPr>
        <w:t>,</w:t>
      </w:r>
      <w:r w:rsidR="00E50D9E" w:rsidRPr="00255861">
        <w:rPr>
          <w:rFonts w:cs="Times New Roman"/>
          <w:szCs w:val="24"/>
          <w:lang w:val="fr-CA"/>
        </w:rPr>
        <w:t xml:space="preserve"> avant de le transmettre à notre tour aux générations qui suivent. J</w:t>
      </w:r>
      <w:r w:rsidR="0030199A" w:rsidRPr="00255861">
        <w:rPr>
          <w:rFonts w:cs="Times New Roman"/>
          <w:szCs w:val="24"/>
          <w:lang w:val="fr-CA"/>
        </w:rPr>
        <w:t xml:space="preserve">e dis bien </w:t>
      </w:r>
      <w:r w:rsidR="0030199A" w:rsidRPr="00255861">
        <w:rPr>
          <w:rFonts w:cs="Times New Roman"/>
          <w:i/>
          <w:szCs w:val="24"/>
          <w:lang w:val="fr-CA"/>
        </w:rPr>
        <w:t>confié</w:t>
      </w:r>
      <w:r w:rsidR="0030199A" w:rsidRPr="00255861">
        <w:rPr>
          <w:rFonts w:cs="Times New Roman"/>
          <w:szCs w:val="24"/>
          <w:lang w:val="fr-CA"/>
        </w:rPr>
        <w:t xml:space="preserve">, car sa </w:t>
      </w:r>
      <w:r w:rsidR="00374EC8" w:rsidRPr="00255861">
        <w:rPr>
          <w:rFonts w:cs="Times New Roman"/>
          <w:szCs w:val="24"/>
          <w:lang w:val="fr-CA"/>
        </w:rPr>
        <w:t xml:space="preserve">pérennité </w:t>
      </w:r>
      <w:r w:rsidR="0030199A" w:rsidRPr="00255861">
        <w:rPr>
          <w:rFonts w:cs="Times New Roman"/>
          <w:szCs w:val="24"/>
          <w:lang w:val="fr-CA"/>
        </w:rPr>
        <w:t xml:space="preserve">repose sur la confiance que </w:t>
      </w:r>
      <w:r w:rsidR="00E50D9E" w:rsidRPr="00255861">
        <w:rPr>
          <w:rFonts w:cs="Times New Roman"/>
          <w:szCs w:val="24"/>
          <w:lang w:val="fr-CA"/>
        </w:rPr>
        <w:t>portent</w:t>
      </w:r>
      <w:r w:rsidR="0030199A" w:rsidRPr="00255861">
        <w:rPr>
          <w:rFonts w:cs="Times New Roman"/>
          <w:szCs w:val="24"/>
          <w:lang w:val="fr-CA"/>
        </w:rPr>
        <w:t xml:space="preserve"> nos devanciers en notre capacité</w:t>
      </w:r>
      <w:r w:rsidR="00374EC8" w:rsidRPr="00255861">
        <w:rPr>
          <w:rFonts w:cs="Times New Roman"/>
          <w:szCs w:val="24"/>
          <w:lang w:val="fr-CA"/>
        </w:rPr>
        <w:t xml:space="preserve"> de le chérir, de l’étoffer et de le transmettre</w:t>
      </w:r>
      <w:r w:rsidR="0030199A" w:rsidRPr="00255861">
        <w:rPr>
          <w:rFonts w:cs="Times New Roman"/>
          <w:szCs w:val="24"/>
          <w:lang w:val="fr-CA"/>
        </w:rPr>
        <w:t>. Il fait appel à notre sens de la responsabilité.</w:t>
      </w:r>
      <w:r w:rsidR="00113340" w:rsidRPr="00255861">
        <w:rPr>
          <w:rFonts w:cs="Times New Roman"/>
          <w:szCs w:val="24"/>
          <w:lang w:val="fr-CA"/>
        </w:rPr>
        <w:t xml:space="preserve"> Bref</w:t>
      </w:r>
      <w:r w:rsidR="00374EC8" w:rsidRPr="00255861">
        <w:rPr>
          <w:rFonts w:cs="Times New Roman"/>
          <w:szCs w:val="24"/>
          <w:lang w:val="fr-CA"/>
        </w:rPr>
        <w:t>, c’est un travail de sédime</w:t>
      </w:r>
      <w:r w:rsidR="00E76060" w:rsidRPr="00255861">
        <w:rPr>
          <w:rFonts w:cs="Times New Roman"/>
          <w:szCs w:val="24"/>
          <w:lang w:val="fr-CA"/>
        </w:rPr>
        <w:t>ntation de l</w:t>
      </w:r>
      <w:r w:rsidR="007A3174" w:rsidRPr="00255861">
        <w:rPr>
          <w:rFonts w:cs="Times New Roman"/>
          <w:szCs w:val="24"/>
          <w:lang w:val="fr-CA"/>
        </w:rPr>
        <w:t>a sagesse</w:t>
      </w:r>
      <w:r w:rsidRPr="00255861">
        <w:rPr>
          <w:rFonts w:cs="Times New Roman"/>
          <w:szCs w:val="24"/>
          <w:lang w:val="fr-CA"/>
        </w:rPr>
        <w:t>,</w:t>
      </w:r>
      <w:r w:rsidR="007A3174" w:rsidRPr="00255861">
        <w:rPr>
          <w:rFonts w:cs="Times New Roman"/>
          <w:szCs w:val="24"/>
          <w:lang w:val="fr-CA"/>
        </w:rPr>
        <w:t xml:space="preserve"> où chaque génération possède autant</w:t>
      </w:r>
      <w:r w:rsidR="00E76060" w:rsidRPr="00255861">
        <w:rPr>
          <w:rFonts w:cs="Times New Roman"/>
          <w:szCs w:val="24"/>
          <w:lang w:val="fr-CA"/>
        </w:rPr>
        <w:t xml:space="preserve"> le pouvoir </w:t>
      </w:r>
      <w:r w:rsidR="007A3174" w:rsidRPr="00255861">
        <w:rPr>
          <w:rFonts w:cs="Times New Roman"/>
          <w:szCs w:val="24"/>
          <w:lang w:val="fr-CA"/>
        </w:rPr>
        <w:t xml:space="preserve">de </w:t>
      </w:r>
      <w:r w:rsidR="00E76060" w:rsidRPr="00255861">
        <w:rPr>
          <w:rFonts w:cs="Times New Roman"/>
          <w:szCs w:val="24"/>
          <w:lang w:val="fr-CA"/>
        </w:rPr>
        <w:t xml:space="preserve">briser </w:t>
      </w:r>
      <w:r w:rsidRPr="00255861">
        <w:rPr>
          <w:rFonts w:cs="Times New Roman"/>
          <w:szCs w:val="24"/>
          <w:lang w:val="fr-CA"/>
        </w:rPr>
        <w:t>la chaîne que</w:t>
      </w:r>
      <w:r w:rsidR="006D2145" w:rsidRPr="00255861">
        <w:rPr>
          <w:rFonts w:cs="Times New Roman"/>
          <w:szCs w:val="24"/>
          <w:lang w:val="fr-CA"/>
        </w:rPr>
        <w:t xml:space="preserve"> d</w:t>
      </w:r>
      <w:r w:rsidR="00D20AB6" w:rsidRPr="00255861">
        <w:rPr>
          <w:rFonts w:cs="Times New Roman"/>
          <w:szCs w:val="24"/>
          <w:lang w:val="fr-CA"/>
        </w:rPr>
        <w:t>’</w:t>
      </w:r>
      <w:r w:rsidR="006D2145" w:rsidRPr="00255861">
        <w:rPr>
          <w:rFonts w:cs="Times New Roman"/>
          <w:szCs w:val="24"/>
          <w:lang w:val="fr-CA"/>
        </w:rPr>
        <w:t>e</w:t>
      </w:r>
      <w:r w:rsidR="00255861" w:rsidRPr="00255861">
        <w:rPr>
          <w:rFonts w:cs="Times New Roman"/>
          <w:szCs w:val="24"/>
          <w:lang w:val="fr-CA"/>
        </w:rPr>
        <w:t>n</w:t>
      </w:r>
      <w:r w:rsidR="00255861">
        <w:rPr>
          <w:rFonts w:cs="Times New Roman"/>
          <w:szCs w:val="24"/>
          <w:lang w:val="fr-CA"/>
        </w:rPr>
        <w:t xml:space="preserve"> </w:t>
      </w:r>
      <w:r w:rsidR="00255861" w:rsidRPr="00255861">
        <w:rPr>
          <w:rFonts w:cs="Times New Roman"/>
          <w:szCs w:val="24"/>
          <w:lang w:val="fr-CA"/>
        </w:rPr>
        <w:t>a</w:t>
      </w:r>
      <w:r w:rsidR="00131E69" w:rsidRPr="00255861">
        <w:rPr>
          <w:rFonts w:cs="Times New Roman"/>
          <w:szCs w:val="24"/>
          <w:lang w:val="fr-CA"/>
        </w:rPr>
        <w:t xml:space="preserve">jouter quelques </w:t>
      </w:r>
      <w:r w:rsidR="00D20AB6" w:rsidRPr="00255861">
        <w:rPr>
          <w:rFonts w:cs="Times New Roman"/>
          <w:szCs w:val="24"/>
          <w:lang w:val="fr-CA"/>
        </w:rPr>
        <w:t>maillons</w:t>
      </w:r>
      <w:r w:rsidR="007A3174" w:rsidRPr="00255861">
        <w:rPr>
          <w:rFonts w:cs="Times New Roman"/>
          <w:szCs w:val="24"/>
          <w:lang w:val="fr-CA"/>
        </w:rPr>
        <w:t>.</w:t>
      </w:r>
    </w:p>
    <w:p w:rsidR="004E431C" w:rsidRPr="00255861" w:rsidRDefault="0030199A" w:rsidP="00530FB9">
      <w:pPr>
        <w:pStyle w:val="ParaNoNdepar-AltN"/>
        <w:rPr>
          <w:rFonts w:cs="Times New Roman"/>
          <w:szCs w:val="24"/>
          <w:lang w:val="fr-CA"/>
        </w:rPr>
      </w:pPr>
      <w:r w:rsidRPr="00255861">
        <w:rPr>
          <w:rFonts w:cs="Times New Roman"/>
          <w:szCs w:val="24"/>
          <w:lang w:val="fr-CA"/>
        </w:rPr>
        <w:t>Le patrimoine qui nous est confié, donc, nous permet de découvrir qui nous sommes en donnant des pistes de réponse à la question de savoir d’où nous venons</w:t>
      </w:r>
      <w:r w:rsidR="00131E69" w:rsidRPr="00255861">
        <w:rPr>
          <w:rFonts w:cs="Times New Roman"/>
          <w:szCs w:val="24"/>
          <w:lang w:val="fr-CA"/>
        </w:rPr>
        <w:t xml:space="preserve"> et où nous allons</w:t>
      </w:r>
      <w:r w:rsidR="0024210E" w:rsidRPr="00255861">
        <w:rPr>
          <w:rFonts w:cs="Times New Roman"/>
          <w:szCs w:val="24"/>
          <w:lang w:val="fr-CA"/>
        </w:rPr>
        <w:t xml:space="preserve">. Cette liaison temporelle </w:t>
      </w:r>
      <w:r w:rsidRPr="00255861">
        <w:rPr>
          <w:rFonts w:cs="Times New Roman"/>
          <w:szCs w:val="24"/>
          <w:lang w:val="fr-CA"/>
        </w:rPr>
        <w:t>permet de mieux nous orienter dans le présent</w:t>
      </w:r>
      <w:r w:rsidR="00974059" w:rsidRPr="00255861">
        <w:rPr>
          <w:rFonts w:cs="Times New Roman"/>
          <w:szCs w:val="24"/>
          <w:lang w:val="fr-CA"/>
        </w:rPr>
        <w:t>,</w:t>
      </w:r>
      <w:r w:rsidRPr="00255861">
        <w:rPr>
          <w:rFonts w:cs="Times New Roman"/>
          <w:szCs w:val="24"/>
          <w:lang w:val="fr-CA"/>
        </w:rPr>
        <w:t xml:space="preserve"> afin de façonner l’avenir</w:t>
      </w:r>
      <w:r w:rsidR="00374EC8" w:rsidRPr="00255861">
        <w:rPr>
          <w:rFonts w:cs="Times New Roman"/>
          <w:szCs w:val="24"/>
          <w:lang w:val="fr-CA"/>
        </w:rPr>
        <w:t xml:space="preserve"> à notre image</w:t>
      </w:r>
      <w:r w:rsidRPr="00255861">
        <w:rPr>
          <w:rFonts w:cs="Times New Roman"/>
          <w:szCs w:val="24"/>
          <w:lang w:val="fr-CA"/>
        </w:rPr>
        <w:t>.</w:t>
      </w:r>
      <w:r w:rsidR="00374EC8" w:rsidRPr="00255861">
        <w:rPr>
          <w:rFonts w:cs="Times New Roman"/>
          <w:szCs w:val="24"/>
          <w:lang w:val="fr-CA"/>
        </w:rPr>
        <w:t xml:space="preserve"> Hériter consist</w:t>
      </w:r>
      <w:r w:rsidR="00C54D90" w:rsidRPr="00255861">
        <w:rPr>
          <w:rFonts w:cs="Times New Roman"/>
          <w:szCs w:val="24"/>
          <w:lang w:val="fr-CA"/>
        </w:rPr>
        <w:t>e, dans une certaine mesure,</w:t>
      </w:r>
      <w:r w:rsidR="00374EC8" w:rsidRPr="00255861">
        <w:rPr>
          <w:rFonts w:cs="Times New Roman"/>
          <w:szCs w:val="24"/>
          <w:lang w:val="fr-CA"/>
        </w:rPr>
        <w:t xml:space="preserve"> à recevoir une</w:t>
      </w:r>
      <w:r w:rsidR="00C54D90" w:rsidRPr="00255861">
        <w:rPr>
          <w:rFonts w:cs="Times New Roman"/>
          <w:szCs w:val="24"/>
          <w:lang w:val="fr-CA"/>
        </w:rPr>
        <w:t xml:space="preserve"> part de notre</w:t>
      </w:r>
      <w:r w:rsidR="00374EC8" w:rsidRPr="00255861">
        <w:rPr>
          <w:rFonts w:cs="Times New Roman"/>
          <w:szCs w:val="24"/>
          <w:lang w:val="fr-CA"/>
        </w:rPr>
        <w:t xml:space="preserve"> identité. </w:t>
      </w:r>
      <w:r w:rsidR="00C90CC4" w:rsidRPr="00255861">
        <w:rPr>
          <w:rFonts w:cs="Times New Roman"/>
          <w:szCs w:val="24"/>
          <w:lang w:val="fr-CA"/>
        </w:rPr>
        <w:t xml:space="preserve">À mon </w:t>
      </w:r>
      <w:r w:rsidR="00C90CC4" w:rsidRPr="00255861">
        <w:rPr>
          <w:rFonts w:cs="Times New Roman"/>
          <w:szCs w:val="24"/>
          <w:lang w:val="fr-CA"/>
        </w:rPr>
        <w:lastRenderedPageBreak/>
        <w:t xml:space="preserve">sens, les questions d’identité et d’héritage sont </w:t>
      </w:r>
      <w:r w:rsidR="00523F2B" w:rsidRPr="00255861">
        <w:rPr>
          <w:rFonts w:cs="Times New Roman"/>
          <w:szCs w:val="24"/>
          <w:lang w:val="fr-CA"/>
        </w:rPr>
        <w:t xml:space="preserve">ainsi </w:t>
      </w:r>
      <w:r w:rsidR="00C90CC4" w:rsidRPr="00255861">
        <w:rPr>
          <w:rFonts w:cs="Times New Roman"/>
          <w:szCs w:val="24"/>
          <w:lang w:val="fr-CA"/>
        </w:rPr>
        <w:t>imbriquées l’une dans l’autre</w:t>
      </w:r>
      <w:r w:rsidR="00131E69" w:rsidRPr="00255861">
        <w:rPr>
          <w:rFonts w:cs="Times New Roman"/>
          <w:szCs w:val="24"/>
          <w:lang w:val="fr-CA"/>
        </w:rPr>
        <w:t xml:space="preserve"> et sont indissociables</w:t>
      </w:r>
      <w:r w:rsidR="00C90CC4" w:rsidRPr="00255861">
        <w:rPr>
          <w:rFonts w:cs="Times New Roman"/>
          <w:szCs w:val="24"/>
          <w:lang w:val="fr-CA"/>
        </w:rPr>
        <w:t>.</w:t>
      </w:r>
    </w:p>
    <w:p w:rsidR="004D1553" w:rsidRPr="00255861" w:rsidRDefault="004D1553" w:rsidP="00530FB9">
      <w:pPr>
        <w:pStyle w:val="ParaNoNdepar-AltN"/>
        <w:rPr>
          <w:rFonts w:cs="Times New Roman"/>
          <w:szCs w:val="24"/>
          <w:lang w:val="fr-CA"/>
        </w:rPr>
      </w:pPr>
      <w:r w:rsidRPr="00255861">
        <w:rPr>
          <w:rFonts w:cs="Times New Roman"/>
          <w:szCs w:val="24"/>
          <w:lang w:val="fr-CA"/>
        </w:rPr>
        <w:t>J’ai cr</w:t>
      </w:r>
      <w:r w:rsidR="00BB770D" w:rsidRPr="00255861">
        <w:rPr>
          <w:rFonts w:cs="Times New Roman"/>
          <w:szCs w:val="24"/>
          <w:lang w:val="fr-CA"/>
        </w:rPr>
        <w:t>u</w:t>
      </w:r>
      <w:r w:rsidRPr="00255861">
        <w:rPr>
          <w:rFonts w:cs="Times New Roman"/>
          <w:szCs w:val="24"/>
          <w:lang w:val="fr-CA"/>
        </w:rPr>
        <w:t xml:space="preserve"> qu’il était tout à fait approprié et dans le ton d’aborder cette question d’héritage culturel et judiciaire à la lumièr</w:t>
      </w:r>
      <w:r w:rsidR="00255861" w:rsidRPr="00255861">
        <w:rPr>
          <w:rFonts w:cs="Times New Roman"/>
          <w:szCs w:val="24"/>
          <w:lang w:val="fr-CA"/>
        </w:rPr>
        <w:t>e</w:t>
      </w:r>
      <w:r w:rsidR="00255861">
        <w:rPr>
          <w:rFonts w:cs="Times New Roman"/>
          <w:szCs w:val="24"/>
          <w:lang w:val="fr-CA"/>
        </w:rPr>
        <w:t xml:space="preserve"> </w:t>
      </w:r>
      <w:r w:rsidR="00255861" w:rsidRPr="00255861">
        <w:rPr>
          <w:rFonts w:cs="Times New Roman"/>
          <w:szCs w:val="24"/>
          <w:lang w:val="fr-CA"/>
        </w:rPr>
        <w:t>d</w:t>
      </w:r>
      <w:r w:rsidRPr="00255861">
        <w:rPr>
          <w:rFonts w:cs="Times New Roman"/>
          <w:szCs w:val="24"/>
          <w:lang w:val="fr-CA"/>
        </w:rPr>
        <w:t>es décisions rendues par nos Tribunaux et en particulier, la Cour suprême du Canada, en abordant plus spécialement le concept de l’identité.</w:t>
      </w:r>
    </w:p>
    <w:p w:rsidR="00B66E19" w:rsidRPr="00255861" w:rsidRDefault="004D1553" w:rsidP="00F55ABC">
      <w:pPr>
        <w:pStyle w:val="ParaNoNdepar-AltN"/>
        <w:rPr>
          <w:rFonts w:cs="Times New Roman"/>
          <w:szCs w:val="24"/>
          <w:lang w:val="fr-CA"/>
        </w:rPr>
      </w:pPr>
      <w:r w:rsidRPr="00255861">
        <w:rPr>
          <w:rFonts w:cs="Times New Roman"/>
          <w:szCs w:val="24"/>
          <w:lang w:val="fr-CA"/>
        </w:rPr>
        <w:t xml:space="preserve">J’aimerais humblement vous inviter </w:t>
      </w:r>
      <w:r w:rsidR="004E431C" w:rsidRPr="00255861">
        <w:rPr>
          <w:rFonts w:cs="Times New Roman"/>
          <w:szCs w:val="24"/>
          <w:lang w:val="fr-CA"/>
        </w:rPr>
        <w:t xml:space="preserve">à réfléchir </w:t>
      </w:r>
      <w:r w:rsidRPr="00255861">
        <w:rPr>
          <w:rFonts w:cs="Times New Roman"/>
          <w:szCs w:val="24"/>
          <w:lang w:val="fr-CA"/>
        </w:rPr>
        <w:t xml:space="preserve">pour quelques minutes </w:t>
      </w:r>
      <w:r w:rsidR="004E431C" w:rsidRPr="00255861">
        <w:rPr>
          <w:rFonts w:cs="Times New Roman"/>
          <w:szCs w:val="24"/>
          <w:lang w:val="fr-CA"/>
        </w:rPr>
        <w:t xml:space="preserve">à la façon dont les 150 ans de notre fédération </w:t>
      </w:r>
      <w:r w:rsidR="00974059" w:rsidRPr="00255861">
        <w:rPr>
          <w:rFonts w:cs="Times New Roman"/>
          <w:szCs w:val="24"/>
          <w:lang w:val="fr-CA"/>
        </w:rPr>
        <w:t xml:space="preserve"> </w:t>
      </w:r>
      <w:r w:rsidR="004E431C" w:rsidRPr="00255861">
        <w:rPr>
          <w:rFonts w:cs="Times New Roman"/>
          <w:szCs w:val="24"/>
          <w:lang w:val="fr-CA"/>
        </w:rPr>
        <w:t>—</w:t>
      </w:r>
      <w:r w:rsidR="00974059" w:rsidRPr="00255861">
        <w:rPr>
          <w:rFonts w:cs="Times New Roman"/>
          <w:szCs w:val="24"/>
          <w:lang w:val="fr-CA"/>
        </w:rPr>
        <w:t xml:space="preserve"> </w:t>
      </w:r>
      <w:r w:rsidR="004E431C" w:rsidRPr="00255861">
        <w:rPr>
          <w:rFonts w:cs="Times New Roman"/>
          <w:szCs w:val="24"/>
          <w:lang w:val="fr-CA"/>
        </w:rPr>
        <w:t xml:space="preserve">avec notamment les 35 bougies soufflées récemment </w:t>
      </w:r>
      <w:r w:rsidRPr="00255861">
        <w:rPr>
          <w:rFonts w:cs="Times New Roman"/>
          <w:szCs w:val="24"/>
          <w:lang w:val="fr-CA"/>
        </w:rPr>
        <w:t xml:space="preserve">sur </w:t>
      </w:r>
      <w:r w:rsidR="004E431C" w:rsidRPr="00255861">
        <w:rPr>
          <w:rFonts w:cs="Times New Roman"/>
          <w:szCs w:val="24"/>
          <w:lang w:val="fr-CA"/>
        </w:rPr>
        <w:t xml:space="preserve">la </w:t>
      </w:r>
      <w:r w:rsidR="004E431C" w:rsidRPr="00255861">
        <w:rPr>
          <w:rFonts w:cs="Times New Roman"/>
          <w:i/>
          <w:szCs w:val="24"/>
          <w:lang w:val="fr-CA"/>
        </w:rPr>
        <w:t>Charte canadienne</w:t>
      </w:r>
      <w:r w:rsidR="00974059" w:rsidRPr="00255861">
        <w:rPr>
          <w:rFonts w:cs="Times New Roman"/>
          <w:i/>
          <w:szCs w:val="24"/>
          <w:lang w:val="fr-CA"/>
        </w:rPr>
        <w:t xml:space="preserve"> </w:t>
      </w:r>
      <w:r w:rsidRPr="00255861">
        <w:rPr>
          <w:rFonts w:cs="Times New Roman"/>
          <w:i/>
          <w:szCs w:val="24"/>
          <w:lang w:val="fr-CA"/>
        </w:rPr>
        <w:t>des droits et libertés</w:t>
      </w:r>
      <w:r w:rsidRPr="00255861">
        <w:rPr>
          <w:rFonts w:cs="Times New Roman"/>
          <w:szCs w:val="24"/>
          <w:lang w:val="fr-CA"/>
        </w:rPr>
        <w:t xml:space="preserve"> </w:t>
      </w:r>
      <w:r w:rsidR="004E431C" w:rsidRPr="00255861">
        <w:rPr>
          <w:rFonts w:cs="Times New Roman"/>
          <w:szCs w:val="24"/>
          <w:lang w:val="fr-CA"/>
        </w:rPr>
        <w:t>—</w:t>
      </w:r>
      <w:r w:rsidR="00974059" w:rsidRPr="00255861">
        <w:rPr>
          <w:rFonts w:cs="Times New Roman"/>
          <w:szCs w:val="24"/>
          <w:lang w:val="fr-CA"/>
        </w:rPr>
        <w:t xml:space="preserve"> </w:t>
      </w:r>
      <w:r w:rsidRPr="00255861">
        <w:rPr>
          <w:rFonts w:cs="Times New Roman"/>
          <w:szCs w:val="24"/>
          <w:lang w:val="fr-CA"/>
        </w:rPr>
        <w:t xml:space="preserve">ont </w:t>
      </w:r>
      <w:r w:rsidR="004E431C" w:rsidRPr="00255861">
        <w:rPr>
          <w:rFonts w:cs="Times New Roman"/>
          <w:szCs w:val="24"/>
          <w:lang w:val="fr-CA"/>
        </w:rPr>
        <w:t>façonn</w:t>
      </w:r>
      <w:r w:rsidRPr="00255861">
        <w:rPr>
          <w:rFonts w:cs="Times New Roman"/>
          <w:szCs w:val="24"/>
          <w:lang w:val="fr-CA"/>
        </w:rPr>
        <w:t>é</w:t>
      </w:r>
      <w:r w:rsidR="0074709A" w:rsidRPr="00255861">
        <w:rPr>
          <w:rFonts w:cs="Times New Roman"/>
          <w:szCs w:val="24"/>
          <w:lang w:val="fr-CA"/>
        </w:rPr>
        <w:t xml:space="preserve"> </w:t>
      </w:r>
      <w:r w:rsidR="004E431C" w:rsidRPr="00255861">
        <w:rPr>
          <w:rFonts w:cs="Times New Roman"/>
          <w:szCs w:val="24"/>
          <w:lang w:val="fr-CA"/>
        </w:rPr>
        <w:t xml:space="preserve">notre compréhension de l’identité. </w:t>
      </w:r>
      <w:r w:rsidR="00B66E19" w:rsidRPr="00255861">
        <w:rPr>
          <w:rFonts w:cs="Times New Roman"/>
          <w:szCs w:val="24"/>
          <w:lang w:val="fr-CA"/>
        </w:rPr>
        <w:t xml:space="preserve">Quel est le chemin parcouru et vers où nous </w:t>
      </w:r>
      <w:r w:rsidR="00BD25CE" w:rsidRPr="00255861">
        <w:rPr>
          <w:rFonts w:cs="Times New Roman"/>
          <w:szCs w:val="24"/>
          <w:lang w:val="fr-CA"/>
        </w:rPr>
        <w:t xml:space="preserve">nous </w:t>
      </w:r>
      <w:r w:rsidR="00B66E19" w:rsidRPr="00255861">
        <w:rPr>
          <w:rFonts w:cs="Times New Roman"/>
          <w:szCs w:val="24"/>
          <w:lang w:val="fr-CA"/>
        </w:rPr>
        <w:t>dirige</w:t>
      </w:r>
      <w:r w:rsidR="00F55ABC" w:rsidRPr="00255861">
        <w:rPr>
          <w:rFonts w:cs="Times New Roman"/>
          <w:szCs w:val="24"/>
          <w:lang w:val="fr-CA"/>
        </w:rPr>
        <w:t>ons ? S’il y a une constant</w:t>
      </w:r>
      <w:r w:rsidR="00B66E19" w:rsidRPr="00255861">
        <w:rPr>
          <w:rFonts w:cs="Times New Roman"/>
          <w:szCs w:val="24"/>
          <w:lang w:val="fr-CA"/>
        </w:rPr>
        <w:t>e dans notre cheminement constitutionnel, c’est bien celle relative au concept d’</w:t>
      </w:r>
      <w:r w:rsidR="00B66E19" w:rsidRPr="00255861">
        <w:rPr>
          <w:rFonts w:cs="Times New Roman"/>
          <w:i/>
          <w:szCs w:val="24"/>
          <w:lang w:val="fr-CA"/>
        </w:rPr>
        <w:t>identité</w:t>
      </w:r>
      <w:r w:rsidR="00B66E19" w:rsidRPr="00255861">
        <w:rPr>
          <w:rFonts w:cs="Times New Roman"/>
          <w:szCs w:val="24"/>
          <w:lang w:val="fr-CA"/>
        </w:rPr>
        <w:t>. Un grand n</w:t>
      </w:r>
      <w:r w:rsidR="00737B6F" w:rsidRPr="00255861">
        <w:rPr>
          <w:rFonts w:cs="Times New Roman"/>
          <w:szCs w:val="24"/>
          <w:lang w:val="fr-CA"/>
        </w:rPr>
        <w:t xml:space="preserve">ombre de questions importantes </w:t>
      </w:r>
      <w:r w:rsidR="00B66E19" w:rsidRPr="00255861">
        <w:rPr>
          <w:rFonts w:cs="Times New Roman"/>
          <w:szCs w:val="24"/>
          <w:lang w:val="fr-CA"/>
        </w:rPr>
        <w:t>auxquelles l</w:t>
      </w:r>
      <w:r w:rsidR="0074709A" w:rsidRPr="00255861">
        <w:rPr>
          <w:rFonts w:cs="Times New Roman"/>
          <w:szCs w:val="24"/>
          <w:lang w:val="fr-CA"/>
        </w:rPr>
        <w:t>a population canadienne</w:t>
      </w:r>
      <w:r w:rsidR="00B66E19" w:rsidRPr="00255861">
        <w:rPr>
          <w:rFonts w:cs="Times New Roman"/>
          <w:szCs w:val="24"/>
          <w:lang w:val="fr-CA"/>
        </w:rPr>
        <w:t xml:space="preserve"> a été confronté</w:t>
      </w:r>
      <w:r w:rsidR="0074709A" w:rsidRPr="00255861">
        <w:rPr>
          <w:rFonts w:cs="Times New Roman"/>
          <w:szCs w:val="24"/>
          <w:lang w:val="fr-CA"/>
        </w:rPr>
        <w:t xml:space="preserve">e </w:t>
      </w:r>
      <w:r w:rsidR="00B66E19" w:rsidRPr="00255861">
        <w:rPr>
          <w:rFonts w:cs="Times New Roman"/>
          <w:szCs w:val="24"/>
          <w:lang w:val="fr-CA"/>
        </w:rPr>
        <w:t xml:space="preserve">concernaient ce que cela </w:t>
      </w:r>
      <w:r w:rsidR="00B66E19" w:rsidRPr="00255861">
        <w:rPr>
          <w:rFonts w:cs="Times New Roman"/>
          <w:i/>
          <w:szCs w:val="24"/>
          <w:lang w:val="fr-CA"/>
        </w:rPr>
        <w:t xml:space="preserve">signifie </w:t>
      </w:r>
      <w:r w:rsidRPr="00255861">
        <w:rPr>
          <w:rFonts w:cs="Times New Roman"/>
          <w:szCs w:val="24"/>
          <w:lang w:val="fr-CA"/>
        </w:rPr>
        <w:t xml:space="preserve">que </w:t>
      </w:r>
      <w:r w:rsidR="00BD25CE" w:rsidRPr="00255861">
        <w:rPr>
          <w:rFonts w:cs="Times New Roman"/>
          <w:szCs w:val="24"/>
          <w:lang w:val="fr-CA"/>
        </w:rPr>
        <w:t xml:space="preserve">de </w:t>
      </w:r>
      <w:r w:rsidR="0074709A" w:rsidRPr="00255861">
        <w:rPr>
          <w:rFonts w:cs="Times New Roman"/>
          <w:szCs w:val="24"/>
          <w:lang w:val="fr-CA"/>
        </w:rPr>
        <w:t>posséder</w:t>
      </w:r>
      <w:r w:rsidR="00B66E19" w:rsidRPr="00255861">
        <w:rPr>
          <w:rFonts w:cs="Times New Roman"/>
          <w:szCs w:val="24"/>
          <w:lang w:val="fr-CA"/>
        </w:rPr>
        <w:t xml:space="preserve"> une caractéristique personnelle, d’appartenir à un</w:t>
      </w:r>
      <w:r w:rsidR="00530FB9" w:rsidRPr="00255861">
        <w:rPr>
          <w:rFonts w:cs="Times New Roman"/>
          <w:szCs w:val="24"/>
          <w:lang w:val="fr-CA"/>
        </w:rPr>
        <w:t>e communauté</w:t>
      </w:r>
      <w:r w:rsidR="00B66E19" w:rsidRPr="00255861">
        <w:rPr>
          <w:rFonts w:cs="Times New Roman"/>
          <w:szCs w:val="24"/>
          <w:lang w:val="fr-CA"/>
        </w:rPr>
        <w:t xml:space="preserve">, de parler une langue ou d’être originaire de tel ou tel endroit. </w:t>
      </w:r>
      <w:r w:rsidR="00530FB9" w:rsidRPr="00255861">
        <w:rPr>
          <w:rFonts w:cs="Times New Roman"/>
          <w:szCs w:val="24"/>
          <w:lang w:val="fr-CA"/>
        </w:rPr>
        <w:t>On ne peut passer sous silence les nombreux débats dans l’arène publique qui se sont tenus parallèlement aux délibérations judiciaires sur ces questions épineuses.</w:t>
      </w:r>
      <w:r w:rsidR="00B66E19" w:rsidRPr="00255861">
        <w:rPr>
          <w:rFonts w:cs="Times New Roman"/>
          <w:szCs w:val="24"/>
          <w:lang w:val="fr-CA"/>
        </w:rPr>
        <w:t xml:space="preserve"> Les luttes rela</w:t>
      </w:r>
      <w:r w:rsidR="00974059" w:rsidRPr="00255861">
        <w:rPr>
          <w:rFonts w:cs="Times New Roman"/>
          <w:szCs w:val="24"/>
          <w:lang w:val="fr-CA"/>
        </w:rPr>
        <w:t>tives aux droits — y compris à l’occasion d’actions en justice</w:t>
      </w:r>
      <w:r w:rsidR="00B66E19" w:rsidRPr="00255861">
        <w:rPr>
          <w:rFonts w:cs="Times New Roman"/>
          <w:szCs w:val="24"/>
          <w:lang w:val="fr-CA"/>
        </w:rPr>
        <w:t xml:space="preserve"> — ont contribué à déterminer comment les identités ont été définies.</w:t>
      </w:r>
    </w:p>
    <w:p w:rsidR="00974059" w:rsidRPr="00255861" w:rsidRDefault="00B66E19" w:rsidP="00974059">
      <w:pPr>
        <w:pStyle w:val="ParaNoNdepar-AltN"/>
        <w:tabs>
          <w:tab w:val="clear" w:pos="1152"/>
          <w:tab w:val="left" w:pos="1166"/>
        </w:tabs>
        <w:rPr>
          <w:rFonts w:cs="Times New Roman"/>
          <w:szCs w:val="24"/>
          <w:lang w:val="fr-CA"/>
        </w:rPr>
      </w:pPr>
      <w:r w:rsidRPr="00255861">
        <w:rPr>
          <w:rFonts w:cs="Times New Roman"/>
          <w:szCs w:val="24"/>
          <w:lang w:val="fr-CA"/>
        </w:rPr>
        <w:t xml:space="preserve">Dans des causes de droit constitutionnel, </w:t>
      </w:r>
      <w:r w:rsidR="00974059" w:rsidRPr="00255861">
        <w:rPr>
          <w:rFonts w:cs="Times New Roman"/>
          <w:szCs w:val="24"/>
          <w:lang w:val="fr-CA"/>
        </w:rPr>
        <w:t>nous, les juges sommes</w:t>
      </w:r>
      <w:r w:rsidRPr="00255861">
        <w:rPr>
          <w:rFonts w:cs="Times New Roman"/>
          <w:szCs w:val="24"/>
          <w:lang w:val="fr-CA"/>
        </w:rPr>
        <w:t xml:space="preserve"> parfois appelés à définir et</w:t>
      </w:r>
      <w:r w:rsidR="00974059" w:rsidRPr="00255861">
        <w:rPr>
          <w:rFonts w:cs="Times New Roman"/>
          <w:szCs w:val="24"/>
          <w:lang w:val="fr-CA"/>
        </w:rPr>
        <w:t xml:space="preserve"> à circonscrire des identités dans le langage du</w:t>
      </w:r>
      <w:r w:rsidRPr="00255861">
        <w:rPr>
          <w:rFonts w:cs="Times New Roman"/>
          <w:szCs w:val="24"/>
          <w:lang w:val="fr-CA"/>
        </w:rPr>
        <w:t xml:space="preserve"> droit. Je pense à des causes comme l’affaire </w:t>
      </w:r>
      <w:r w:rsidRPr="00255861">
        <w:rPr>
          <w:rFonts w:cs="Times New Roman"/>
          <w:i/>
          <w:szCs w:val="24"/>
          <w:lang w:val="fr-CA"/>
        </w:rPr>
        <w:t>Powley</w:t>
      </w:r>
      <w:r w:rsidR="00737B6F" w:rsidRPr="00255861">
        <w:rPr>
          <w:rFonts w:cs="Times New Roman"/>
          <w:szCs w:val="24"/>
          <w:lang w:val="fr-CA"/>
        </w:rPr>
        <w:t xml:space="preserve"> qui a établi</w:t>
      </w:r>
      <w:r w:rsidRPr="00255861">
        <w:rPr>
          <w:rFonts w:cs="Times New Roman"/>
          <w:szCs w:val="24"/>
          <w:lang w:val="fr-CA"/>
        </w:rPr>
        <w:t xml:space="preserve"> </w:t>
      </w:r>
      <w:r w:rsidR="00530FB9" w:rsidRPr="00255861">
        <w:rPr>
          <w:rFonts w:cs="Times New Roman"/>
          <w:szCs w:val="24"/>
          <w:lang w:val="fr-CA"/>
        </w:rPr>
        <w:t xml:space="preserve">les critères d’appartenance </w:t>
      </w:r>
      <w:r w:rsidRPr="00255861">
        <w:rPr>
          <w:rFonts w:cs="Times New Roman"/>
          <w:szCs w:val="24"/>
          <w:lang w:val="fr-CA"/>
        </w:rPr>
        <w:t>de l’identité métis</w:t>
      </w:r>
      <w:r w:rsidR="00974059" w:rsidRPr="00255861">
        <w:rPr>
          <w:rFonts w:cs="Times New Roman"/>
          <w:szCs w:val="24"/>
          <w:lang w:val="fr-CA"/>
        </w:rPr>
        <w:t>se</w:t>
      </w:r>
      <w:r w:rsidR="004D1553" w:rsidRPr="00255861">
        <w:rPr>
          <w:rFonts w:cs="Times New Roman"/>
          <w:szCs w:val="24"/>
          <w:lang w:val="fr-CA"/>
        </w:rPr>
        <w:t xml:space="preserve"> en 2003</w:t>
      </w:r>
      <w:r w:rsidRPr="00255861">
        <w:rPr>
          <w:rStyle w:val="Appelnotedebasdep"/>
          <w:rFonts w:cs="Times New Roman"/>
          <w:szCs w:val="24"/>
        </w:rPr>
        <w:footnoteReference w:id="3"/>
      </w:r>
      <w:r w:rsidRPr="00255861">
        <w:rPr>
          <w:rFonts w:cs="Times New Roman"/>
          <w:szCs w:val="24"/>
          <w:lang w:val="fr-CA"/>
        </w:rPr>
        <w:t xml:space="preserve">. </w:t>
      </w:r>
      <w:r w:rsidR="00974059" w:rsidRPr="00255861">
        <w:rPr>
          <w:rFonts w:cs="Times New Roman"/>
          <w:szCs w:val="24"/>
          <w:lang w:val="fr-CA"/>
        </w:rPr>
        <w:t>Nous devons</w:t>
      </w:r>
      <w:r w:rsidR="00530FB9" w:rsidRPr="00255861">
        <w:rPr>
          <w:rFonts w:cs="Times New Roman"/>
          <w:szCs w:val="24"/>
          <w:lang w:val="fr-CA"/>
        </w:rPr>
        <w:t xml:space="preserve"> </w:t>
      </w:r>
      <w:r w:rsidR="00530FB9" w:rsidRPr="00255861">
        <w:rPr>
          <w:rFonts w:cs="Times New Roman"/>
          <w:szCs w:val="24"/>
          <w:lang w:val="fr-CA"/>
        </w:rPr>
        <w:lastRenderedPageBreak/>
        <w:t>déterminer si certains traitements différenciés</w:t>
      </w:r>
      <w:r w:rsidR="00974059" w:rsidRPr="00255861">
        <w:rPr>
          <w:rFonts w:cs="Times New Roman"/>
          <w:szCs w:val="24"/>
          <w:lang w:val="fr-CA"/>
        </w:rPr>
        <w:t>,</w:t>
      </w:r>
      <w:r w:rsidR="00530FB9" w:rsidRPr="00255861">
        <w:rPr>
          <w:rFonts w:cs="Times New Roman"/>
          <w:szCs w:val="24"/>
          <w:lang w:val="fr-CA"/>
        </w:rPr>
        <w:t xml:space="preserve"> sur la base d’un motif identitaire</w:t>
      </w:r>
      <w:r w:rsidR="00974059" w:rsidRPr="00255861">
        <w:rPr>
          <w:rFonts w:cs="Times New Roman"/>
          <w:szCs w:val="24"/>
          <w:lang w:val="fr-CA"/>
        </w:rPr>
        <w:t>,</w:t>
      </w:r>
      <w:r w:rsidR="00530FB9" w:rsidRPr="00255861">
        <w:rPr>
          <w:rFonts w:cs="Times New Roman"/>
          <w:szCs w:val="24"/>
          <w:lang w:val="fr-CA"/>
        </w:rPr>
        <w:t xml:space="preserve"> s</w:t>
      </w:r>
      <w:r w:rsidR="00974059" w:rsidRPr="00255861">
        <w:rPr>
          <w:rFonts w:cs="Times New Roman"/>
          <w:szCs w:val="24"/>
          <w:lang w:val="fr-CA"/>
        </w:rPr>
        <w:t>’avèrent</w:t>
      </w:r>
      <w:r w:rsidRPr="00255861">
        <w:rPr>
          <w:rFonts w:cs="Times New Roman"/>
          <w:szCs w:val="24"/>
          <w:lang w:val="fr-CA"/>
        </w:rPr>
        <w:t xml:space="preserve"> justifié</w:t>
      </w:r>
      <w:r w:rsidR="00530FB9" w:rsidRPr="00255861">
        <w:rPr>
          <w:rFonts w:cs="Times New Roman"/>
          <w:szCs w:val="24"/>
          <w:lang w:val="fr-CA"/>
        </w:rPr>
        <w:t>s</w:t>
      </w:r>
      <w:r w:rsidRPr="00255861">
        <w:rPr>
          <w:rFonts w:cs="Times New Roman"/>
          <w:szCs w:val="24"/>
          <w:lang w:val="fr-CA"/>
        </w:rPr>
        <w:t xml:space="preserve"> dans un</w:t>
      </w:r>
      <w:r w:rsidR="00530FB9" w:rsidRPr="00255861">
        <w:rPr>
          <w:rFonts w:cs="Times New Roman"/>
          <w:szCs w:val="24"/>
          <w:lang w:val="fr-CA"/>
        </w:rPr>
        <w:t>e société libre et démocratique</w:t>
      </w:r>
      <w:r w:rsidRPr="00255861">
        <w:rPr>
          <w:rFonts w:cs="Times New Roman"/>
          <w:szCs w:val="24"/>
          <w:lang w:val="fr-CA"/>
        </w:rPr>
        <w:t xml:space="preserve">. </w:t>
      </w:r>
      <w:r w:rsidR="00530FB9" w:rsidRPr="00255861">
        <w:rPr>
          <w:rFonts w:cs="Times New Roman"/>
          <w:szCs w:val="24"/>
          <w:lang w:val="fr-CA"/>
        </w:rPr>
        <w:t>Il va sans dire que le raisonnement judiciaire a évolué considérablem</w:t>
      </w:r>
      <w:r w:rsidR="00974059" w:rsidRPr="00255861">
        <w:rPr>
          <w:rFonts w:cs="Times New Roman"/>
          <w:szCs w:val="24"/>
          <w:lang w:val="fr-CA"/>
        </w:rPr>
        <w:t xml:space="preserve">ent au fil des questions qui </w:t>
      </w:r>
      <w:r w:rsidR="00530FB9" w:rsidRPr="00255861">
        <w:rPr>
          <w:rFonts w:cs="Times New Roman"/>
          <w:szCs w:val="24"/>
          <w:lang w:val="fr-CA"/>
        </w:rPr>
        <w:t>ont été posées, notamment en ce qui a trait à la</w:t>
      </w:r>
      <w:r w:rsidRPr="00255861">
        <w:rPr>
          <w:rFonts w:cs="Times New Roman"/>
          <w:szCs w:val="24"/>
          <w:lang w:val="fr-CA"/>
        </w:rPr>
        <w:t xml:space="preserve"> langue, au sexe, à la religion, à l’orientation sexuelle. En cours de route</w:t>
      </w:r>
      <w:r w:rsidR="00974059" w:rsidRPr="00255861">
        <w:rPr>
          <w:rFonts w:cs="Times New Roman"/>
          <w:szCs w:val="24"/>
          <w:lang w:val="fr-CA"/>
        </w:rPr>
        <w:t xml:space="preserve"> nous</w:t>
      </w:r>
      <w:r w:rsidRPr="00255861">
        <w:rPr>
          <w:rFonts w:cs="Times New Roman"/>
          <w:szCs w:val="24"/>
          <w:lang w:val="fr-CA"/>
        </w:rPr>
        <w:t xml:space="preserve"> avons réalisé que </w:t>
      </w:r>
      <w:r w:rsidR="00974059" w:rsidRPr="00255861">
        <w:rPr>
          <w:rFonts w:cs="Times New Roman"/>
          <w:szCs w:val="24"/>
          <w:lang w:val="fr-CA"/>
        </w:rPr>
        <w:t xml:space="preserve">les </w:t>
      </w:r>
      <w:r w:rsidRPr="00255861">
        <w:rPr>
          <w:rFonts w:cs="Times New Roman"/>
          <w:szCs w:val="24"/>
          <w:lang w:val="fr-CA"/>
        </w:rPr>
        <w:t xml:space="preserve">décisions </w:t>
      </w:r>
      <w:r w:rsidR="00974059" w:rsidRPr="00255861">
        <w:rPr>
          <w:rFonts w:cs="Times New Roman"/>
          <w:szCs w:val="24"/>
          <w:lang w:val="fr-CA"/>
        </w:rPr>
        <w:t xml:space="preserve">prises en ces matières </w:t>
      </w:r>
      <w:r w:rsidRPr="00255861">
        <w:rPr>
          <w:rFonts w:cs="Times New Roman"/>
          <w:szCs w:val="24"/>
          <w:lang w:val="fr-CA"/>
        </w:rPr>
        <w:t>ont une incidence considérable sur la façon dont les Ca</w:t>
      </w:r>
      <w:r w:rsidR="00050B60" w:rsidRPr="00255861">
        <w:rPr>
          <w:rFonts w:cs="Times New Roman"/>
          <w:szCs w:val="24"/>
          <w:lang w:val="fr-CA"/>
        </w:rPr>
        <w:t xml:space="preserve">nadiens se perçoivent eux-mêmes, se perçoivent </w:t>
      </w:r>
      <w:r w:rsidRPr="00255861">
        <w:rPr>
          <w:rFonts w:cs="Times New Roman"/>
          <w:szCs w:val="24"/>
          <w:lang w:val="fr-CA"/>
        </w:rPr>
        <w:t>les uns les autres</w:t>
      </w:r>
      <w:r w:rsidR="00050B60" w:rsidRPr="00255861">
        <w:rPr>
          <w:rFonts w:cs="Times New Roman"/>
          <w:szCs w:val="24"/>
          <w:lang w:val="fr-CA"/>
        </w:rPr>
        <w:t>,</w:t>
      </w:r>
      <w:r w:rsidRPr="00255861">
        <w:rPr>
          <w:rFonts w:cs="Times New Roman"/>
          <w:szCs w:val="24"/>
          <w:lang w:val="fr-CA"/>
        </w:rPr>
        <w:t xml:space="preserve"> ainsi que sur les rapports qu’ils entretiennent entre eux. </w:t>
      </w:r>
    </w:p>
    <w:p w:rsidR="00974059" w:rsidRPr="00255861" w:rsidRDefault="00DC04D0" w:rsidP="00974059">
      <w:pPr>
        <w:pStyle w:val="ParaNoNdepar-AltN"/>
        <w:tabs>
          <w:tab w:val="clear" w:pos="1152"/>
          <w:tab w:val="left" w:pos="1166"/>
        </w:tabs>
        <w:rPr>
          <w:rFonts w:cs="Times New Roman"/>
          <w:szCs w:val="24"/>
          <w:lang w:val="fr-CA"/>
        </w:rPr>
      </w:pPr>
      <w:r w:rsidRPr="00255861">
        <w:rPr>
          <w:rFonts w:cs="Times New Roman"/>
          <w:szCs w:val="24"/>
          <w:lang w:val="fr-CA"/>
        </w:rPr>
        <w:t xml:space="preserve">Je pense qu’il est juste de dire que la Cour suprême n’a pas toujours agi en étant pleinement consciente de cette incidence. En réfléchissant à la place qu’a occupée cette institution historiquement dans les courants de politiques canadiennes sur l’identité, comment ne pas penser à l’arrêt </w:t>
      </w:r>
      <w:r w:rsidRPr="00255861">
        <w:rPr>
          <w:rFonts w:cs="Times New Roman"/>
          <w:i/>
          <w:szCs w:val="24"/>
          <w:lang w:val="fr-CA"/>
        </w:rPr>
        <w:t>Edwards</w:t>
      </w:r>
      <w:r w:rsidRPr="00255861">
        <w:rPr>
          <w:rStyle w:val="Appelnotedebasdep"/>
          <w:rFonts w:cs="Times New Roman"/>
          <w:szCs w:val="24"/>
        </w:rPr>
        <w:footnoteReference w:id="4"/>
      </w:r>
      <w:r w:rsidRPr="00255861">
        <w:rPr>
          <w:rFonts w:cs="Times New Roman"/>
          <w:szCs w:val="24"/>
          <w:lang w:val="fr-CA"/>
        </w:rPr>
        <w:t xml:space="preserve">, que j’ai relu récemment. Il s’agit, bien sûr, de celui rendu en 1928 et qui a défini le terme « personne ». Dans ce jugement, la Cour avait décidé que le fait de mander « des personnes ayant les qualités voulues » s’entendait de mander uniquement des « hommes ». À la lumière de l’approche moderne adoptée par la Cour quant à la notion d’identité et quant à l’interprétation constitutionnelle, l’arrêt </w:t>
      </w:r>
      <w:r w:rsidRPr="00255861">
        <w:rPr>
          <w:rFonts w:cs="Times New Roman"/>
          <w:i/>
          <w:szCs w:val="24"/>
          <w:lang w:val="fr-CA"/>
        </w:rPr>
        <w:t>Edwards</w:t>
      </w:r>
      <w:r w:rsidRPr="00255861">
        <w:rPr>
          <w:rFonts w:cs="Times New Roman"/>
          <w:szCs w:val="24"/>
          <w:lang w:val="fr-CA"/>
        </w:rPr>
        <w:t xml:space="preserve"> est remarquable </w:t>
      </w:r>
      <w:r w:rsidR="00BD25CE" w:rsidRPr="00255861">
        <w:rPr>
          <w:rFonts w:cs="Times New Roman"/>
          <w:szCs w:val="24"/>
          <w:lang w:val="fr-CA"/>
        </w:rPr>
        <w:t xml:space="preserve">si je peux utiliser ce qualificatif, </w:t>
      </w:r>
      <w:r w:rsidRPr="00255861">
        <w:rPr>
          <w:rFonts w:cs="Times New Roman"/>
          <w:szCs w:val="24"/>
          <w:lang w:val="fr-CA"/>
        </w:rPr>
        <w:t xml:space="preserve">tout autant pour son refus de tenir compte du contexte que pour son manque de vision. Quel contraste avec la décision </w:t>
      </w:r>
      <w:r w:rsidRPr="00255861">
        <w:rPr>
          <w:rFonts w:cs="Times New Roman"/>
          <w:i/>
          <w:szCs w:val="24"/>
          <w:lang w:val="fr-CA"/>
        </w:rPr>
        <w:t>Daniels</w:t>
      </w:r>
      <w:r w:rsidRPr="00255861">
        <w:rPr>
          <w:rStyle w:val="Appelnotedebasdep"/>
          <w:rFonts w:cs="Times New Roman"/>
          <w:szCs w:val="24"/>
        </w:rPr>
        <w:footnoteReference w:id="5"/>
      </w:r>
      <w:r w:rsidRPr="00255861">
        <w:rPr>
          <w:rFonts w:cs="Times New Roman"/>
          <w:szCs w:val="24"/>
          <w:lang w:val="fr-CA"/>
        </w:rPr>
        <w:t xml:space="preserve"> rendue l’an dernier ! La Cour était appelée à circonscrire la portée du </w:t>
      </w:r>
      <w:r w:rsidR="00BD25CE" w:rsidRPr="00255861">
        <w:rPr>
          <w:rFonts w:cs="Times New Roman"/>
          <w:szCs w:val="24"/>
          <w:lang w:val="fr-CA"/>
        </w:rPr>
        <w:t xml:space="preserve">mot </w:t>
      </w:r>
      <w:r w:rsidRPr="00255861">
        <w:rPr>
          <w:rFonts w:cs="Times New Roman"/>
          <w:szCs w:val="24"/>
          <w:lang w:val="fr-CA"/>
        </w:rPr>
        <w:t>« Indien » qui figure au par. 91(24) de la Constitution, et à décider s’il visait les Métis et les Indiens non-inscrits. La Cour s’est acquittée de sa tâche en tenant compte de l’ensemble des contextes historique, philosophique et linguistique</w:t>
      </w:r>
      <w:r w:rsidRPr="00255861">
        <w:rPr>
          <w:rStyle w:val="Appelnotedebasdep"/>
          <w:rFonts w:cs="Times New Roman"/>
          <w:szCs w:val="24"/>
        </w:rPr>
        <w:footnoteReference w:id="6"/>
      </w:r>
      <w:r w:rsidRPr="00255861">
        <w:rPr>
          <w:rFonts w:cs="Times New Roman"/>
          <w:szCs w:val="24"/>
          <w:lang w:val="fr-CA"/>
        </w:rPr>
        <w:t xml:space="preserve">, ce qui comprenait l’expérience </w:t>
      </w:r>
      <w:r w:rsidRPr="00255861">
        <w:rPr>
          <w:rFonts w:cs="Times New Roman"/>
          <w:szCs w:val="24"/>
          <w:lang w:val="fr-CA"/>
        </w:rPr>
        <w:lastRenderedPageBreak/>
        <w:t xml:space="preserve">partagée des horribles pensionnats </w:t>
      </w:r>
      <w:r w:rsidR="00B6040E" w:rsidRPr="00255861">
        <w:rPr>
          <w:rFonts w:cs="Times New Roman"/>
          <w:szCs w:val="24"/>
          <w:lang w:val="fr-CA"/>
        </w:rPr>
        <w:t>autochtone</w:t>
      </w:r>
      <w:r w:rsidRPr="00255861">
        <w:rPr>
          <w:rFonts w:cs="Times New Roman"/>
          <w:szCs w:val="24"/>
          <w:lang w:val="fr-CA"/>
        </w:rPr>
        <w:t>s</w:t>
      </w:r>
      <w:r w:rsidRPr="00255861">
        <w:rPr>
          <w:rStyle w:val="Appelnotedebasdep"/>
          <w:rFonts w:cs="Times New Roman"/>
          <w:szCs w:val="24"/>
        </w:rPr>
        <w:footnoteReference w:id="7"/>
      </w:r>
      <w:r w:rsidRPr="00255861">
        <w:rPr>
          <w:rFonts w:cs="Times New Roman"/>
          <w:szCs w:val="24"/>
          <w:lang w:val="fr-CA"/>
        </w:rPr>
        <w:t>. En effet, la décision s’amorce par une reconnaissance par la Cour de sa place dans le cheminement vers une réconciliation</w:t>
      </w:r>
      <w:r w:rsidRPr="00255861">
        <w:rPr>
          <w:rStyle w:val="Appelnotedebasdep"/>
          <w:rFonts w:cs="Times New Roman"/>
          <w:szCs w:val="24"/>
        </w:rPr>
        <w:footnoteReference w:id="8"/>
      </w:r>
      <w:r w:rsidRPr="00255861">
        <w:rPr>
          <w:rFonts w:cs="Times New Roman"/>
          <w:szCs w:val="24"/>
          <w:lang w:val="fr-CA"/>
        </w:rPr>
        <w:t>.</w:t>
      </w:r>
    </w:p>
    <w:p w:rsidR="00A8320E" w:rsidRPr="00255861" w:rsidRDefault="00A8320E" w:rsidP="00974059">
      <w:pPr>
        <w:pStyle w:val="ParaNoNdepar-AltN"/>
        <w:tabs>
          <w:tab w:val="clear" w:pos="1152"/>
          <w:tab w:val="left" w:pos="1166"/>
        </w:tabs>
        <w:rPr>
          <w:rFonts w:cs="Times New Roman"/>
          <w:szCs w:val="24"/>
          <w:lang w:val="en-US"/>
        </w:rPr>
      </w:pPr>
      <w:r w:rsidRPr="00255861">
        <w:rPr>
          <w:rFonts w:cs="Times New Roman"/>
          <w:szCs w:val="24"/>
        </w:rPr>
        <w:t xml:space="preserve">Thirty five years of </w:t>
      </w:r>
      <w:r w:rsidRPr="00255861">
        <w:rPr>
          <w:rFonts w:cs="Times New Roman"/>
          <w:i/>
          <w:szCs w:val="24"/>
        </w:rPr>
        <w:t>Charter</w:t>
      </w:r>
      <w:r w:rsidRPr="00255861">
        <w:rPr>
          <w:rFonts w:cs="Times New Roman"/>
          <w:szCs w:val="24"/>
        </w:rPr>
        <w:t xml:space="preserve"> adjudication have driven a fundamental change in how judges think about identity generally. Both </w:t>
      </w:r>
      <w:r w:rsidRPr="00255861">
        <w:rPr>
          <w:rFonts w:cs="Times New Roman"/>
          <w:i/>
          <w:szCs w:val="24"/>
        </w:rPr>
        <w:t>Edwards</w:t>
      </w:r>
      <w:r w:rsidRPr="00255861">
        <w:rPr>
          <w:rFonts w:cs="Times New Roman"/>
          <w:szCs w:val="24"/>
        </w:rPr>
        <w:t xml:space="preserve"> and </w:t>
      </w:r>
      <w:r w:rsidRPr="00255861">
        <w:rPr>
          <w:rFonts w:cs="Times New Roman"/>
          <w:i/>
          <w:szCs w:val="24"/>
        </w:rPr>
        <w:t>Daniels</w:t>
      </w:r>
      <w:r w:rsidRPr="00255861">
        <w:rPr>
          <w:rFonts w:cs="Times New Roman"/>
          <w:szCs w:val="24"/>
        </w:rPr>
        <w:t xml:space="preserve"> illustrate the kind of line-drawing that the Court is sometimes called on to do when legal decisions touch on identity. It is not surprising that the Court’s approach would evolve over decades of adjudicating </w:t>
      </w:r>
      <w:r w:rsidRPr="00255861">
        <w:rPr>
          <w:rFonts w:cs="Times New Roman"/>
          <w:i/>
          <w:szCs w:val="24"/>
        </w:rPr>
        <w:t>Charter</w:t>
      </w:r>
      <w:r w:rsidRPr="00255861">
        <w:rPr>
          <w:rFonts w:cs="Times New Roman"/>
          <w:szCs w:val="24"/>
        </w:rPr>
        <w:t xml:space="preserve"> claims! Of course, the advent of the </w:t>
      </w:r>
      <w:r w:rsidRPr="00255861">
        <w:rPr>
          <w:rFonts w:cs="Times New Roman"/>
          <w:i/>
          <w:szCs w:val="24"/>
        </w:rPr>
        <w:t>Charter</w:t>
      </w:r>
      <w:r w:rsidRPr="00255861">
        <w:rPr>
          <w:rFonts w:cs="Times New Roman"/>
          <w:szCs w:val="24"/>
        </w:rPr>
        <w:t xml:space="preserve"> is not the only thing that has changed in the nearly nine decades since </w:t>
      </w:r>
      <w:r w:rsidRPr="00255861">
        <w:rPr>
          <w:rFonts w:cs="Times New Roman"/>
          <w:i/>
          <w:szCs w:val="24"/>
        </w:rPr>
        <w:t>Edwards</w:t>
      </w:r>
      <w:r w:rsidRPr="00255861">
        <w:rPr>
          <w:rFonts w:cs="Times New Roman"/>
          <w:szCs w:val="24"/>
        </w:rPr>
        <w:t xml:space="preserve">. </w:t>
      </w:r>
      <w:r w:rsidR="0099472F" w:rsidRPr="00255861">
        <w:rPr>
          <w:rFonts w:cs="Times New Roman"/>
          <w:szCs w:val="24"/>
        </w:rPr>
        <w:t>Canadians have changed their perception and policies regarding identity matters as well.</w:t>
      </w:r>
    </w:p>
    <w:p w:rsidR="00DC04D0" w:rsidRPr="00255861" w:rsidRDefault="00DC04D0" w:rsidP="00DC04D0">
      <w:pPr>
        <w:pStyle w:val="ParaNoNdepar-AltN"/>
        <w:tabs>
          <w:tab w:val="clear" w:pos="1152"/>
          <w:tab w:val="left" w:pos="1166"/>
        </w:tabs>
        <w:rPr>
          <w:rFonts w:cs="Times New Roman"/>
          <w:szCs w:val="24"/>
          <w:lang w:val="fr-CA"/>
        </w:rPr>
      </w:pPr>
      <w:r w:rsidRPr="00255861">
        <w:rPr>
          <w:rFonts w:cs="Times New Roman"/>
          <w:szCs w:val="24"/>
          <w:lang w:val="fr-CA"/>
        </w:rPr>
        <w:t>Il peut toutefois être légèrement injuste de s’en prendre tout particulièrement à cette décision</w:t>
      </w:r>
      <w:r w:rsidR="00BD25CE" w:rsidRPr="00255861">
        <w:rPr>
          <w:rFonts w:cs="Times New Roman"/>
          <w:szCs w:val="24"/>
          <w:lang w:val="fr-CA"/>
        </w:rPr>
        <w:t xml:space="preserve"> d’</w:t>
      </w:r>
      <w:r w:rsidR="00BD25CE" w:rsidRPr="00255861">
        <w:rPr>
          <w:rFonts w:cs="Times New Roman"/>
          <w:i/>
          <w:szCs w:val="24"/>
          <w:lang w:val="fr-CA"/>
        </w:rPr>
        <w:t>Edwards</w:t>
      </w:r>
      <w:r w:rsidRPr="00255861">
        <w:rPr>
          <w:rFonts w:cs="Times New Roman"/>
          <w:szCs w:val="24"/>
          <w:lang w:val="fr-CA"/>
        </w:rPr>
        <w:t xml:space="preserve">. Au cours des années qui ont suivi, la Cour suprême a développé ce à quoi nous référons maintenant comme étant la « jurisprudence de la déclaration ou de la charte des droits implicite ». Dans ces décisions, la Cour utilisait n’importe quel outil à sa disposition, que ce soit le fédéralisme ou une notion vague de la primauté du droit, pour protéger les libertés individuelles. À titre d’exemple, dans les arrêts </w:t>
      </w:r>
      <w:r w:rsidRPr="00255861">
        <w:rPr>
          <w:rFonts w:cs="Times New Roman"/>
          <w:i/>
          <w:iCs/>
          <w:szCs w:val="24"/>
          <w:lang w:val="fr-CA"/>
        </w:rPr>
        <w:t>Saumur c. City of Québec</w:t>
      </w:r>
      <w:r w:rsidRPr="00255861">
        <w:rPr>
          <w:rStyle w:val="Appelnotedebasdep"/>
          <w:rFonts w:cs="Times New Roman"/>
          <w:i/>
          <w:iCs/>
          <w:szCs w:val="24"/>
          <w:lang w:val="fr-CA"/>
        </w:rPr>
        <w:footnoteReference w:id="9"/>
      </w:r>
      <w:r w:rsidRPr="00255861">
        <w:rPr>
          <w:rFonts w:cs="Times New Roman"/>
          <w:szCs w:val="24"/>
          <w:lang w:val="fr-CA"/>
        </w:rPr>
        <w:t xml:space="preserve"> et </w:t>
      </w:r>
      <w:r w:rsidRPr="00255861">
        <w:rPr>
          <w:rFonts w:cs="Times New Roman"/>
          <w:i/>
          <w:iCs/>
          <w:szCs w:val="24"/>
          <w:lang w:val="fr-CA"/>
        </w:rPr>
        <w:t>Roncarelli c. Duplessis</w:t>
      </w:r>
      <w:r w:rsidRPr="00255861">
        <w:rPr>
          <w:rFonts w:cs="Times New Roman"/>
          <w:szCs w:val="24"/>
          <w:lang w:val="fr-CA"/>
        </w:rPr>
        <w:t>,</w:t>
      </w:r>
      <w:r w:rsidRPr="00255861">
        <w:rPr>
          <w:rStyle w:val="Appelnotedebasdep"/>
          <w:rFonts w:cs="Times New Roman"/>
          <w:szCs w:val="24"/>
          <w:lang w:val="fr-CA"/>
        </w:rPr>
        <w:footnoteReference w:id="10"/>
      </w:r>
      <w:r w:rsidRPr="00255861">
        <w:rPr>
          <w:rFonts w:cs="Times New Roman"/>
          <w:szCs w:val="24"/>
          <w:lang w:val="fr-CA"/>
        </w:rPr>
        <w:t xml:space="preserve"> la Cour a invalidé un règlement et l’action administrative en découlant, jugeant qu’ils brimaient les minorités religieuses. Ces arrêts faisaient partie des premières tentatives de la Cour </w:t>
      </w:r>
      <w:r w:rsidRPr="00255861">
        <w:rPr>
          <w:rFonts w:cs="Times New Roman"/>
          <w:szCs w:val="24"/>
          <w:lang w:val="fr-CA"/>
        </w:rPr>
        <w:lastRenderedPageBreak/>
        <w:t>de s’assurer que tous, peu importe la religion ou l’identité, puissent jouir du droit à l’égalité et leur participation au sein de la société.</w:t>
      </w:r>
    </w:p>
    <w:p w:rsidR="00DC04D0" w:rsidRPr="00255861" w:rsidRDefault="00DC04D0" w:rsidP="00DC04D0">
      <w:pPr>
        <w:pStyle w:val="ParaNoNdepar-AltN"/>
        <w:tabs>
          <w:tab w:val="clear" w:pos="1152"/>
          <w:tab w:val="left" w:pos="1166"/>
        </w:tabs>
        <w:rPr>
          <w:rFonts w:cs="Times New Roman"/>
          <w:szCs w:val="24"/>
          <w:lang w:val="fr-CA"/>
        </w:rPr>
      </w:pPr>
      <w:r w:rsidRPr="00255861">
        <w:rPr>
          <w:rFonts w:cs="Times New Roman"/>
          <w:szCs w:val="24"/>
          <w:lang w:val="fr-CA"/>
        </w:rPr>
        <w:t>Cela dit, ces arrêts n’ont pas directement et clairement soulevé la question de l’identité comme telle. Faute d’une charte ou d’une déclaration des droits de la personne explicite, la Cour ne pouvait se prononcer sur les effets de ces lois sur des individus en particulier. Certains ont, à tort ou à raison, alors qualifié d’activiste cette jurisprudence de la déclaration ou de la charte des droits implicite</w:t>
      </w:r>
      <w:r w:rsidRPr="00255861">
        <w:rPr>
          <w:rStyle w:val="Appelnotedebasdep"/>
          <w:rFonts w:cs="Times New Roman"/>
          <w:szCs w:val="24"/>
          <w:lang w:val="fr-CA"/>
        </w:rPr>
        <w:footnoteReference w:id="11"/>
      </w:r>
      <w:r w:rsidRPr="00255861">
        <w:rPr>
          <w:rFonts w:cs="Times New Roman"/>
          <w:szCs w:val="24"/>
          <w:lang w:val="fr-CA"/>
        </w:rPr>
        <w:t>.</w:t>
      </w:r>
      <w:r w:rsidR="00064B05" w:rsidRPr="00255861">
        <w:rPr>
          <w:rFonts w:cs="Times New Roman"/>
          <w:szCs w:val="24"/>
          <w:lang w:val="fr-CA"/>
        </w:rPr>
        <w:t xml:space="preserve"> Comme quoi, l’histoire se répète! </w:t>
      </w:r>
      <w:r w:rsidRPr="00255861">
        <w:rPr>
          <w:rFonts w:cs="Times New Roman"/>
          <w:szCs w:val="24"/>
          <w:lang w:val="fr-CA"/>
        </w:rPr>
        <w:t xml:space="preserve"> Or, depuis l’adoption de la</w:t>
      </w:r>
      <w:r w:rsidR="00BD25CE" w:rsidRPr="00255861">
        <w:rPr>
          <w:rFonts w:cs="Times New Roman"/>
          <w:szCs w:val="24"/>
          <w:lang w:val="fr-CA"/>
        </w:rPr>
        <w:t xml:space="preserve"> vraie</w:t>
      </w:r>
      <w:r w:rsidRPr="00255861">
        <w:rPr>
          <w:rFonts w:cs="Times New Roman"/>
          <w:szCs w:val="24"/>
          <w:lang w:val="fr-CA"/>
        </w:rPr>
        <w:t xml:space="preserve"> </w:t>
      </w:r>
      <w:r w:rsidRPr="00255861">
        <w:rPr>
          <w:rFonts w:cs="Times New Roman"/>
          <w:i/>
          <w:iCs/>
          <w:szCs w:val="24"/>
          <w:lang w:val="fr-CA"/>
        </w:rPr>
        <w:t>Charte canadienne des droits et libertés</w:t>
      </w:r>
      <w:r w:rsidRPr="00255861">
        <w:rPr>
          <w:rFonts w:cs="Times New Roman"/>
          <w:szCs w:val="24"/>
          <w:lang w:val="fr-CA"/>
        </w:rPr>
        <w:t xml:space="preserve">, il n’y a plus aucun doute. Les juges n’agissent pas alors de façon antidémocratique en intervenant lorsque des actions législatives ou exécutives ne respectent pas les dispositions de la </w:t>
      </w:r>
      <w:r w:rsidRPr="00255861">
        <w:rPr>
          <w:rFonts w:cs="Times New Roman"/>
          <w:i/>
          <w:iCs/>
          <w:szCs w:val="24"/>
          <w:lang w:val="fr-CA"/>
        </w:rPr>
        <w:t>Charte</w:t>
      </w:r>
      <w:bookmarkStart w:id="1" w:name="_Ref477010126"/>
      <w:r w:rsidRPr="00255861">
        <w:rPr>
          <w:rStyle w:val="Appelnotedebasdep"/>
          <w:rFonts w:cs="Times New Roman"/>
          <w:szCs w:val="24"/>
          <w:lang w:val="fr-CA"/>
        </w:rPr>
        <w:footnoteReference w:id="12"/>
      </w:r>
      <w:bookmarkEnd w:id="1"/>
      <w:r w:rsidRPr="00255861">
        <w:rPr>
          <w:rFonts w:cs="Times New Roman"/>
          <w:iCs/>
          <w:szCs w:val="24"/>
          <w:lang w:val="fr-CA"/>
        </w:rPr>
        <w:t>.</w:t>
      </w:r>
      <w:r w:rsidRPr="00255861">
        <w:rPr>
          <w:rFonts w:cs="Times New Roman"/>
          <w:szCs w:val="24"/>
          <w:lang w:val="fr-CA"/>
        </w:rPr>
        <w:t xml:space="preserve"> Ce sont les citoyens qui ont choisi, par le biais de leurs représentants élus, de se lier à un ensemble de normes fondamentales qui sont censées refléter les valeurs morales de la société canadienne. La Cour a la responsabilité et le devoir d’interpréter la </w:t>
      </w:r>
      <w:r w:rsidRPr="00255861">
        <w:rPr>
          <w:rFonts w:cs="Times New Roman"/>
          <w:i/>
          <w:iCs/>
          <w:szCs w:val="24"/>
          <w:lang w:val="fr-CA"/>
        </w:rPr>
        <w:t>Charte</w:t>
      </w:r>
      <w:r w:rsidRPr="00255861">
        <w:rPr>
          <w:rFonts w:cs="Times New Roman"/>
          <w:szCs w:val="24"/>
          <w:lang w:val="fr-CA"/>
        </w:rPr>
        <w:t xml:space="preserve"> de manière à protéger les droits et libertés des Canadiens, incluant le droit de participer pleinement à la société, indépendamment de l’identité de ses citoyens. Si </w:t>
      </w:r>
      <w:r w:rsidR="00BD25CE" w:rsidRPr="00255861">
        <w:rPr>
          <w:rFonts w:cs="Times New Roman"/>
          <w:szCs w:val="24"/>
          <w:lang w:val="fr-CA"/>
        </w:rPr>
        <w:t xml:space="preserve">nous sommes </w:t>
      </w:r>
      <w:r w:rsidRPr="00255861">
        <w:rPr>
          <w:rFonts w:cs="Times New Roman"/>
          <w:szCs w:val="24"/>
          <w:lang w:val="fr-CA"/>
        </w:rPr>
        <w:t>accusé</w:t>
      </w:r>
      <w:r w:rsidR="00BD25CE" w:rsidRPr="00255861">
        <w:rPr>
          <w:rFonts w:cs="Times New Roman"/>
          <w:szCs w:val="24"/>
          <w:lang w:val="fr-CA"/>
        </w:rPr>
        <w:t>s</w:t>
      </w:r>
      <w:r w:rsidRPr="00255861">
        <w:rPr>
          <w:rFonts w:cs="Times New Roman"/>
          <w:szCs w:val="24"/>
          <w:lang w:val="fr-CA"/>
        </w:rPr>
        <w:t xml:space="preserve"> d’activisme judiciaire en respectant </w:t>
      </w:r>
      <w:r w:rsidR="00BD25CE" w:rsidRPr="00255861">
        <w:rPr>
          <w:rFonts w:cs="Times New Roman"/>
          <w:szCs w:val="24"/>
          <w:lang w:val="fr-CA"/>
        </w:rPr>
        <w:t xml:space="preserve">notre </w:t>
      </w:r>
      <w:r w:rsidRPr="00255861">
        <w:rPr>
          <w:rFonts w:cs="Times New Roman"/>
          <w:szCs w:val="24"/>
          <w:lang w:val="fr-CA"/>
        </w:rPr>
        <w:t xml:space="preserve">serment d’office, alors </w:t>
      </w:r>
      <w:r w:rsidR="00064B05" w:rsidRPr="00255861">
        <w:rPr>
          <w:rFonts w:cs="Times New Roman"/>
          <w:szCs w:val="24"/>
          <w:lang w:val="fr-CA"/>
        </w:rPr>
        <w:t xml:space="preserve">nous n’aurions </w:t>
      </w:r>
      <w:r w:rsidRPr="00255861">
        <w:rPr>
          <w:rFonts w:cs="Times New Roman"/>
          <w:szCs w:val="24"/>
          <w:lang w:val="fr-CA"/>
        </w:rPr>
        <w:t>aucune difficulté à plaider coupable.</w:t>
      </w:r>
    </w:p>
    <w:p w:rsidR="00F91B61" w:rsidRPr="00255861" w:rsidRDefault="00DC04D0" w:rsidP="00F91B61">
      <w:pPr>
        <w:pStyle w:val="ParaNoNdepar-AltN"/>
        <w:rPr>
          <w:rFonts w:cs="Times New Roman"/>
          <w:szCs w:val="24"/>
          <w:lang w:val="fr-CA"/>
        </w:rPr>
      </w:pPr>
      <w:r w:rsidRPr="00255861">
        <w:rPr>
          <w:rFonts w:cs="Times New Roman"/>
          <w:szCs w:val="24"/>
          <w:lang w:val="fr-CA"/>
        </w:rPr>
        <w:t>Les polit</w:t>
      </w:r>
      <w:r w:rsidR="00B66E19" w:rsidRPr="00255861">
        <w:rPr>
          <w:rFonts w:cs="Times New Roman"/>
          <w:szCs w:val="24"/>
          <w:lang w:val="fr-CA"/>
        </w:rPr>
        <w:t>ologues, les sociolog</w:t>
      </w:r>
      <w:r w:rsidRPr="00255861">
        <w:rPr>
          <w:rFonts w:cs="Times New Roman"/>
          <w:szCs w:val="24"/>
          <w:lang w:val="fr-CA"/>
        </w:rPr>
        <w:t>u</w:t>
      </w:r>
      <w:r w:rsidR="00B66E19" w:rsidRPr="00255861">
        <w:rPr>
          <w:rFonts w:cs="Times New Roman"/>
          <w:szCs w:val="24"/>
          <w:lang w:val="fr-CA"/>
        </w:rPr>
        <w:t xml:space="preserve">es et les historiens sont mieux placés que moi pour analyser les effets </w:t>
      </w:r>
      <w:r w:rsidR="0099472F" w:rsidRPr="00255861">
        <w:rPr>
          <w:rFonts w:cs="Times New Roman"/>
          <w:szCs w:val="24"/>
          <w:lang w:val="fr-CA"/>
        </w:rPr>
        <w:t>d</w:t>
      </w:r>
      <w:r w:rsidRPr="00255861">
        <w:rPr>
          <w:rFonts w:cs="Times New Roman"/>
          <w:szCs w:val="24"/>
          <w:lang w:val="fr-CA"/>
        </w:rPr>
        <w:t>u</w:t>
      </w:r>
      <w:r w:rsidR="0099472F" w:rsidRPr="00255861">
        <w:rPr>
          <w:rFonts w:cs="Times New Roman"/>
          <w:szCs w:val="24"/>
          <w:lang w:val="fr-CA"/>
        </w:rPr>
        <w:t xml:space="preserve"> changement de</w:t>
      </w:r>
      <w:r w:rsidRPr="00255861">
        <w:rPr>
          <w:rFonts w:cs="Times New Roman"/>
          <w:szCs w:val="24"/>
          <w:lang w:val="fr-CA"/>
        </w:rPr>
        <w:t>s</w:t>
      </w:r>
      <w:r w:rsidR="0099472F" w:rsidRPr="00255861">
        <w:rPr>
          <w:rFonts w:cs="Times New Roman"/>
          <w:szCs w:val="24"/>
          <w:lang w:val="fr-CA"/>
        </w:rPr>
        <w:t xml:space="preserve"> </w:t>
      </w:r>
      <w:r w:rsidR="00F91B61" w:rsidRPr="00255861">
        <w:rPr>
          <w:rFonts w:cs="Times New Roman"/>
          <w:szCs w:val="24"/>
          <w:lang w:val="fr-CA"/>
        </w:rPr>
        <w:t>mœurs</w:t>
      </w:r>
      <w:r w:rsidR="00B66E19" w:rsidRPr="00255861">
        <w:rPr>
          <w:rFonts w:cs="Times New Roman"/>
          <w:szCs w:val="24"/>
          <w:lang w:val="fr-CA"/>
        </w:rPr>
        <w:t xml:space="preserve"> sur l’identité — tant sur le plan des perceptions que sur celui des politiques. Je souhaite donc utiliser le temps qui m’est alloué aujourd’hui pour vous </w:t>
      </w:r>
      <w:r w:rsidR="00F91B61" w:rsidRPr="00255861">
        <w:rPr>
          <w:rFonts w:cs="Times New Roman"/>
          <w:szCs w:val="24"/>
          <w:lang w:val="fr-CA"/>
        </w:rPr>
        <w:t xml:space="preserve">brosser un portrait </w:t>
      </w:r>
      <w:r w:rsidR="00B66E19" w:rsidRPr="00255861">
        <w:rPr>
          <w:rFonts w:cs="Times New Roman"/>
          <w:szCs w:val="24"/>
          <w:lang w:val="fr-CA"/>
        </w:rPr>
        <w:t xml:space="preserve">d’un sujet dont je suis </w:t>
      </w:r>
      <w:r w:rsidRPr="00255861">
        <w:rPr>
          <w:rFonts w:cs="Times New Roman"/>
          <w:szCs w:val="24"/>
          <w:lang w:val="fr-CA"/>
        </w:rPr>
        <w:t xml:space="preserve">un peu </w:t>
      </w:r>
      <w:r w:rsidR="00B66E19" w:rsidRPr="00255861">
        <w:rPr>
          <w:rFonts w:cs="Times New Roman"/>
          <w:szCs w:val="24"/>
          <w:lang w:val="fr-CA"/>
        </w:rPr>
        <w:t xml:space="preserve">plus à même de parler : la perspective d’un juge </w:t>
      </w:r>
      <w:r w:rsidR="00B66E19" w:rsidRPr="00255861">
        <w:rPr>
          <w:rFonts w:cs="Times New Roman"/>
          <w:szCs w:val="24"/>
          <w:lang w:val="fr-CA"/>
        </w:rPr>
        <w:lastRenderedPageBreak/>
        <w:t>sur l</w:t>
      </w:r>
      <w:r w:rsidR="00F91B61" w:rsidRPr="00255861">
        <w:rPr>
          <w:rFonts w:cs="Times New Roman"/>
          <w:szCs w:val="24"/>
          <w:lang w:val="fr-CA"/>
        </w:rPr>
        <w:t>’évolution du raisonnement judiciaire</w:t>
      </w:r>
      <w:r w:rsidR="0074709A" w:rsidRPr="00255861">
        <w:rPr>
          <w:rFonts w:cs="Times New Roman"/>
          <w:szCs w:val="24"/>
          <w:lang w:val="fr-CA"/>
        </w:rPr>
        <w:t xml:space="preserve">, </w:t>
      </w:r>
      <w:r w:rsidRPr="00255861">
        <w:rPr>
          <w:rFonts w:cs="Times New Roman"/>
          <w:szCs w:val="24"/>
          <w:lang w:val="fr-CA"/>
        </w:rPr>
        <w:t xml:space="preserve">en matière de </w:t>
      </w:r>
      <w:r w:rsidR="003B3566" w:rsidRPr="00255861">
        <w:rPr>
          <w:rFonts w:cs="Times New Roman"/>
          <w:szCs w:val="24"/>
          <w:lang w:val="fr-CA"/>
        </w:rPr>
        <w:t>questions d’identité individuelle et collective.</w:t>
      </w:r>
    </w:p>
    <w:p w:rsidR="00B66E19" w:rsidRPr="00255861" w:rsidRDefault="00D37E5D" w:rsidP="00090D0C">
      <w:pPr>
        <w:pStyle w:val="ParaNoNdepar-AltN"/>
        <w:rPr>
          <w:rFonts w:cs="Times New Roman"/>
          <w:szCs w:val="24"/>
          <w:lang w:val="fr-CA"/>
        </w:rPr>
      </w:pPr>
      <w:r w:rsidRPr="00255861">
        <w:rPr>
          <w:rFonts w:cs="Times New Roman"/>
          <w:szCs w:val="24"/>
          <w:lang w:val="fr-CA"/>
        </w:rPr>
        <w:t xml:space="preserve">Premièrement, les juges reconnaissent que l’identité est contextuelle et complexe, et qu’il ne s’agit pas simplement d’une liste de caractéristiques personnelles. Cela dit, un engagement à comprendre à fond la notion d’identité entre parfois en conflit avec les exigences pratiques de la prise de décisions judiciaires. Deuxièmement, nous reconnaissons que différentes identités — y compris celle du juge — donnent différents points de vue sur le droit et sur ses effets. Voir les choses d’un autre point de vue est à la fois une obligation et une préoccupation constante. Troisièmement, la façon de concevoir l’identité a des incidences fondamentales sur la santé de notre démocratie, compte tenu de la </w:t>
      </w:r>
      <w:r w:rsidRPr="00255861">
        <w:rPr>
          <w:rFonts w:cs="Times New Roman"/>
          <w:i/>
          <w:szCs w:val="24"/>
          <w:lang w:val="fr-CA"/>
        </w:rPr>
        <w:t>Charte</w:t>
      </w:r>
      <w:r w:rsidRPr="00255861">
        <w:rPr>
          <w:rFonts w:cs="Times New Roman"/>
          <w:szCs w:val="24"/>
          <w:lang w:val="fr-CA"/>
        </w:rPr>
        <w:t xml:space="preserve">. Les principes démocratiques devraient toutefois tout autant éclairer notre réflexion sur l’identité. Le Programme de contestation judiciaire </w:t>
      </w:r>
      <w:r w:rsidR="00BD25CE" w:rsidRPr="00255861">
        <w:rPr>
          <w:rFonts w:cs="Times New Roman"/>
          <w:szCs w:val="24"/>
          <w:lang w:val="fr-CA"/>
        </w:rPr>
        <w:t xml:space="preserve">maintenant remis sur les rails </w:t>
      </w:r>
      <w:r w:rsidRPr="00255861">
        <w:rPr>
          <w:rFonts w:cs="Times New Roman"/>
          <w:szCs w:val="24"/>
          <w:lang w:val="fr-CA"/>
        </w:rPr>
        <w:t>pourrait donner lieu à une nouvelle vague de litiges fondés sur l’égalité. Dans chacun de ces domaines, j’estime que la communauté universitaire peut fournir une contribution fort utile</w:t>
      </w:r>
      <w:r w:rsidR="00823268" w:rsidRPr="00255861">
        <w:rPr>
          <w:rFonts w:cs="Times New Roman"/>
          <w:szCs w:val="24"/>
          <w:lang w:val="fr-CA"/>
        </w:rPr>
        <w:t>.</w:t>
      </w:r>
    </w:p>
    <w:p w:rsidR="00B66E19" w:rsidRPr="00255861" w:rsidRDefault="00A8320E" w:rsidP="00B66E19">
      <w:pPr>
        <w:pStyle w:val="Titre1"/>
        <w:rPr>
          <w:lang w:val="fr-CA"/>
        </w:rPr>
      </w:pPr>
      <w:r w:rsidRPr="00255861">
        <w:rPr>
          <w:lang w:val="fr-CA"/>
        </w:rPr>
        <w:t>La contextualisation de l’expérience identitaire</w:t>
      </w:r>
      <w:r w:rsidR="00B66E19" w:rsidRPr="00255861">
        <w:rPr>
          <w:lang w:val="fr-CA"/>
        </w:rPr>
        <w:t xml:space="preserve"> </w:t>
      </w:r>
    </w:p>
    <w:p w:rsidR="00B66E19" w:rsidRPr="00255861" w:rsidRDefault="00B66E19" w:rsidP="00B66E19">
      <w:pPr>
        <w:pStyle w:val="ParaNoNdepar-AltN"/>
        <w:rPr>
          <w:rFonts w:cs="Times New Roman"/>
          <w:szCs w:val="24"/>
          <w:lang w:val="fr-CA"/>
        </w:rPr>
      </w:pPr>
      <w:r w:rsidRPr="00255861">
        <w:rPr>
          <w:rFonts w:cs="Times New Roman"/>
          <w:szCs w:val="24"/>
          <w:lang w:val="fr-CA"/>
        </w:rPr>
        <w:t xml:space="preserve">Les caractéristiques personnelles et de groupe constituent le point de départ de la jurisprudence sur la </w:t>
      </w:r>
      <w:r w:rsidRPr="00255861">
        <w:rPr>
          <w:rFonts w:cs="Times New Roman"/>
          <w:i/>
          <w:szCs w:val="24"/>
          <w:lang w:val="fr-CA"/>
        </w:rPr>
        <w:t>Charte</w:t>
      </w:r>
      <w:r w:rsidRPr="00255861">
        <w:rPr>
          <w:rFonts w:cs="Times New Roman"/>
          <w:szCs w:val="24"/>
          <w:lang w:val="fr-CA"/>
        </w:rPr>
        <w:t xml:space="preserve"> relative à l’égalité. Cela dit, l’identité n’est pas faite </w:t>
      </w:r>
      <w:r w:rsidR="009B4227" w:rsidRPr="00255861">
        <w:rPr>
          <w:rFonts w:cs="Times New Roman"/>
          <w:szCs w:val="24"/>
          <w:lang w:val="fr-CA"/>
        </w:rPr>
        <w:t xml:space="preserve">que </w:t>
      </w:r>
      <w:r w:rsidRPr="00255861">
        <w:rPr>
          <w:rFonts w:cs="Times New Roman"/>
          <w:szCs w:val="24"/>
          <w:lang w:val="fr-CA"/>
        </w:rPr>
        <w:t>d’étiquettes. C’est une version abrégée de la façon dont les individus se perçoivent</w:t>
      </w:r>
      <w:r w:rsidR="009B4227" w:rsidRPr="00255861">
        <w:rPr>
          <w:rFonts w:cs="Times New Roman"/>
          <w:szCs w:val="24"/>
          <w:lang w:val="fr-CA"/>
        </w:rPr>
        <w:t xml:space="preserve"> eux-mêmes, la manière</w:t>
      </w:r>
      <w:r w:rsidRPr="00255861">
        <w:rPr>
          <w:rFonts w:cs="Times New Roman"/>
          <w:szCs w:val="24"/>
          <w:lang w:val="fr-CA"/>
        </w:rPr>
        <w:t xml:space="preserve"> dont ils sont perçus par les autres et </w:t>
      </w:r>
      <w:r w:rsidR="009B4227" w:rsidRPr="00255861">
        <w:rPr>
          <w:rFonts w:cs="Times New Roman"/>
          <w:szCs w:val="24"/>
          <w:lang w:val="fr-CA"/>
        </w:rPr>
        <w:t xml:space="preserve">comment </w:t>
      </w:r>
      <w:r w:rsidRPr="00255861">
        <w:rPr>
          <w:rFonts w:cs="Times New Roman"/>
          <w:szCs w:val="24"/>
          <w:lang w:val="fr-CA"/>
        </w:rPr>
        <w:t>ces deux perceptions interagissent</w:t>
      </w:r>
      <w:r w:rsidR="00946B81" w:rsidRPr="00255861">
        <w:rPr>
          <w:rFonts w:cs="Times New Roman"/>
          <w:szCs w:val="24"/>
          <w:lang w:val="fr-CA"/>
        </w:rPr>
        <w:t xml:space="preserve"> entre elles</w:t>
      </w:r>
      <w:r w:rsidRPr="00255861">
        <w:rPr>
          <w:rFonts w:cs="Times New Roman"/>
          <w:szCs w:val="24"/>
          <w:lang w:val="fr-CA"/>
        </w:rPr>
        <w:t>. Autrement dit, l’identité découle de l’expérience vécue</w:t>
      </w:r>
      <w:r w:rsidR="00946B81" w:rsidRPr="00255861">
        <w:rPr>
          <w:rFonts w:cs="Times New Roman"/>
          <w:szCs w:val="24"/>
          <w:lang w:val="fr-CA"/>
        </w:rPr>
        <w:t xml:space="preserve">, en tant qu’individu et en tant que membre d’une </w:t>
      </w:r>
      <w:r w:rsidR="00946B81" w:rsidRPr="00255861">
        <w:rPr>
          <w:rFonts w:cs="Times New Roman"/>
          <w:szCs w:val="24"/>
          <w:lang w:val="fr-CA"/>
        </w:rPr>
        <w:lastRenderedPageBreak/>
        <w:t xml:space="preserve">communauté, </w:t>
      </w:r>
      <w:r w:rsidRPr="00255861">
        <w:rPr>
          <w:rFonts w:cs="Times New Roman"/>
          <w:szCs w:val="24"/>
          <w:lang w:val="fr-CA"/>
        </w:rPr>
        <w:t>et c’est cette expérience qui distingue l’identité d’une simple liste d’attributs</w:t>
      </w:r>
      <w:r w:rsidR="009B4227" w:rsidRPr="00255861">
        <w:rPr>
          <w:rFonts w:cs="Times New Roman"/>
          <w:szCs w:val="24"/>
          <w:lang w:val="fr-CA"/>
        </w:rPr>
        <w:t xml:space="preserve"> physiques ou intellectuels</w:t>
      </w:r>
      <w:r w:rsidRPr="00255861">
        <w:rPr>
          <w:rFonts w:cs="Times New Roman"/>
          <w:szCs w:val="24"/>
          <w:lang w:val="fr-CA"/>
        </w:rPr>
        <w:t>.</w:t>
      </w:r>
    </w:p>
    <w:p w:rsidR="00B66E19" w:rsidRPr="00255861" w:rsidRDefault="00B66E19" w:rsidP="00B66E19">
      <w:pPr>
        <w:pStyle w:val="ParaNoNdepar-AltN"/>
        <w:rPr>
          <w:rFonts w:cs="Times New Roman"/>
          <w:szCs w:val="24"/>
          <w:lang w:val="fr-CA"/>
        </w:rPr>
      </w:pPr>
      <w:r w:rsidRPr="00255861">
        <w:rPr>
          <w:rFonts w:cs="Times New Roman"/>
          <w:szCs w:val="24"/>
          <w:lang w:val="fr-CA"/>
        </w:rPr>
        <w:t xml:space="preserve">C’est d’ailleurs le refus de réfléchir à la notion d’identité </w:t>
      </w:r>
      <w:r w:rsidR="0074709A" w:rsidRPr="00255861">
        <w:rPr>
          <w:rFonts w:cs="Times New Roman"/>
          <w:szCs w:val="24"/>
          <w:lang w:val="fr-CA"/>
        </w:rPr>
        <w:t>sur le plan de l</w:t>
      </w:r>
      <w:r w:rsidRPr="00255861">
        <w:rPr>
          <w:rFonts w:cs="Times New Roman"/>
          <w:szCs w:val="24"/>
          <w:lang w:val="fr-CA"/>
        </w:rPr>
        <w:t xml:space="preserve">’expérience </w:t>
      </w:r>
      <w:r w:rsidR="0074709A" w:rsidRPr="00255861">
        <w:rPr>
          <w:rFonts w:cs="Times New Roman"/>
          <w:szCs w:val="24"/>
          <w:lang w:val="fr-CA"/>
        </w:rPr>
        <w:t>vécue q</w:t>
      </w:r>
      <w:r w:rsidRPr="00255861">
        <w:rPr>
          <w:rFonts w:cs="Times New Roman"/>
          <w:szCs w:val="24"/>
          <w:lang w:val="fr-CA"/>
        </w:rPr>
        <w:t xml:space="preserve">ui explique les lacunes de quelques causes célèbres relatives à la </w:t>
      </w:r>
      <w:r w:rsidRPr="00255861">
        <w:rPr>
          <w:rFonts w:cs="Times New Roman"/>
          <w:i/>
          <w:szCs w:val="24"/>
          <w:lang w:val="fr-CA"/>
        </w:rPr>
        <w:t>Déclaration canadienne des droits</w:t>
      </w:r>
      <w:r w:rsidRPr="00255861">
        <w:rPr>
          <w:rFonts w:cs="Times New Roman"/>
          <w:szCs w:val="24"/>
          <w:lang w:val="fr-CA"/>
        </w:rPr>
        <w:t xml:space="preserve">. Dans </w:t>
      </w:r>
      <w:r w:rsidRPr="00255861">
        <w:rPr>
          <w:rFonts w:cs="Times New Roman"/>
          <w:i/>
          <w:szCs w:val="24"/>
          <w:lang w:val="fr-CA"/>
        </w:rPr>
        <w:t>Bliss</w:t>
      </w:r>
      <w:r w:rsidRPr="00255861">
        <w:rPr>
          <w:rFonts w:cs="Times New Roman"/>
          <w:szCs w:val="24"/>
          <w:lang w:val="fr-CA"/>
        </w:rPr>
        <w:t xml:space="preserve">, par exemple, </w:t>
      </w:r>
      <w:bookmarkStart w:id="2" w:name="_Ref477023584"/>
      <w:r w:rsidRPr="00255861">
        <w:rPr>
          <w:rFonts w:cs="Times New Roman"/>
          <w:szCs w:val="24"/>
          <w:lang w:val="fr-CA"/>
        </w:rPr>
        <w:t>la Cour a statué que la discrimination fondée sur la grossesse n’en est pas une fondée sur le sexe</w:t>
      </w:r>
      <w:r w:rsidRPr="00255861">
        <w:rPr>
          <w:rStyle w:val="Appelnotedebasdep"/>
          <w:rFonts w:cs="Times New Roman"/>
          <w:szCs w:val="24"/>
        </w:rPr>
        <w:footnoteReference w:id="13"/>
      </w:r>
      <w:bookmarkEnd w:id="2"/>
      <w:r w:rsidRPr="00255861">
        <w:rPr>
          <w:rFonts w:cs="Times New Roman"/>
          <w:szCs w:val="24"/>
          <w:lang w:val="fr-CA"/>
        </w:rPr>
        <w:t xml:space="preserve">. Le lien entre les deux n’aurait pas échappé à une Cour plus sensible à la manière concrète </w:t>
      </w:r>
      <w:r w:rsidR="009B4227" w:rsidRPr="00255861">
        <w:rPr>
          <w:rFonts w:cs="Times New Roman"/>
          <w:szCs w:val="24"/>
          <w:lang w:val="fr-CA"/>
        </w:rPr>
        <w:t xml:space="preserve">avec laquelle </w:t>
      </w:r>
      <w:r w:rsidRPr="00255861">
        <w:rPr>
          <w:rFonts w:cs="Times New Roman"/>
          <w:szCs w:val="24"/>
          <w:lang w:val="fr-CA"/>
        </w:rPr>
        <w:t xml:space="preserve">les individus font l’expérience de leur identité. En revanche, la Cour a pris le virage de l’analyse axée sur l’expérience dès ses premières décisions sur l’égalité fondées sur la </w:t>
      </w:r>
      <w:r w:rsidRPr="00255861">
        <w:rPr>
          <w:rFonts w:cs="Times New Roman"/>
          <w:i/>
          <w:szCs w:val="24"/>
          <w:lang w:val="fr-CA"/>
        </w:rPr>
        <w:t>Charte</w:t>
      </w:r>
      <w:r w:rsidR="009B4227" w:rsidRPr="00255861">
        <w:rPr>
          <w:rFonts w:cs="Times New Roman"/>
          <w:i/>
          <w:szCs w:val="24"/>
          <w:lang w:val="fr-CA"/>
        </w:rPr>
        <w:t xml:space="preserve"> des droits et libertés</w:t>
      </w:r>
      <w:r w:rsidRPr="00255861">
        <w:rPr>
          <w:rFonts w:cs="Times New Roman"/>
          <w:szCs w:val="24"/>
          <w:lang w:val="fr-CA"/>
        </w:rPr>
        <w:t xml:space="preserve">. Pensons, par exemple au cas du handicap. L’arrêt </w:t>
      </w:r>
      <w:r w:rsidRPr="00255861">
        <w:rPr>
          <w:rFonts w:cs="Times New Roman"/>
          <w:i/>
          <w:szCs w:val="24"/>
          <w:lang w:val="fr-CA"/>
        </w:rPr>
        <w:t>Eaton</w:t>
      </w:r>
      <w:r w:rsidRPr="00255861">
        <w:rPr>
          <w:rFonts w:cs="Times New Roman"/>
          <w:szCs w:val="24"/>
          <w:lang w:val="fr-CA"/>
        </w:rPr>
        <w:t xml:space="preserve"> </w:t>
      </w:r>
      <w:r w:rsidR="009B4227" w:rsidRPr="00255861">
        <w:rPr>
          <w:rFonts w:cs="Times New Roman"/>
          <w:szCs w:val="24"/>
          <w:lang w:val="fr-CA"/>
        </w:rPr>
        <w:t xml:space="preserve">rendu en 1997 </w:t>
      </w:r>
      <w:r w:rsidRPr="00255861">
        <w:rPr>
          <w:rFonts w:cs="Times New Roman"/>
          <w:szCs w:val="24"/>
          <w:lang w:val="fr-CA"/>
        </w:rPr>
        <w:t xml:space="preserve">a </w:t>
      </w:r>
      <w:r w:rsidR="00946B81" w:rsidRPr="00255861">
        <w:rPr>
          <w:rFonts w:cs="Times New Roman"/>
          <w:szCs w:val="24"/>
          <w:lang w:val="fr-CA"/>
        </w:rPr>
        <w:t>a</w:t>
      </w:r>
      <w:r w:rsidR="00572710" w:rsidRPr="00255861">
        <w:rPr>
          <w:rFonts w:cs="Times New Roman"/>
          <w:szCs w:val="24"/>
          <w:lang w:val="fr-CA"/>
        </w:rPr>
        <w:t>bordé</w:t>
      </w:r>
      <w:r w:rsidRPr="00255861">
        <w:rPr>
          <w:rFonts w:cs="Times New Roman"/>
          <w:szCs w:val="24"/>
          <w:lang w:val="fr-CA"/>
        </w:rPr>
        <w:t xml:space="preserve"> la discrimination, non pas en faisant</w:t>
      </w:r>
      <w:r w:rsidR="00572710" w:rsidRPr="00255861">
        <w:rPr>
          <w:rFonts w:cs="Times New Roman"/>
          <w:szCs w:val="24"/>
          <w:lang w:val="fr-CA"/>
        </w:rPr>
        <w:t xml:space="preserve"> strictement</w:t>
      </w:r>
      <w:r w:rsidRPr="00255861">
        <w:rPr>
          <w:rFonts w:cs="Times New Roman"/>
          <w:szCs w:val="24"/>
          <w:lang w:val="fr-CA"/>
        </w:rPr>
        <w:t xml:space="preserve"> référence à des caractérist</w:t>
      </w:r>
      <w:r w:rsidR="00572710" w:rsidRPr="00255861">
        <w:rPr>
          <w:rFonts w:cs="Times New Roman"/>
          <w:szCs w:val="24"/>
          <w:lang w:val="fr-CA"/>
        </w:rPr>
        <w:t>iques personnelles, mais bien en considérant l’expérience vécue par ceux qui ne partagent pas les attributs majoritaires sur lesquels s’est construit</w:t>
      </w:r>
      <w:r w:rsidR="0074709A" w:rsidRPr="00255861">
        <w:rPr>
          <w:rFonts w:cs="Times New Roman"/>
          <w:szCs w:val="24"/>
          <w:lang w:val="fr-CA"/>
        </w:rPr>
        <w:t xml:space="preserve">e </w:t>
      </w:r>
      <w:r w:rsidR="00572710" w:rsidRPr="00255861">
        <w:rPr>
          <w:rFonts w:cs="Times New Roman"/>
          <w:szCs w:val="24"/>
          <w:lang w:val="fr-CA"/>
        </w:rPr>
        <w:t>la société</w:t>
      </w:r>
      <w:r w:rsidRPr="00255861">
        <w:rPr>
          <w:rStyle w:val="Appelnotedebasdep"/>
          <w:rFonts w:cs="Times New Roman"/>
          <w:szCs w:val="24"/>
        </w:rPr>
        <w:footnoteReference w:id="14"/>
      </w:r>
      <w:r w:rsidRPr="00255861">
        <w:rPr>
          <w:rFonts w:cs="Times New Roman"/>
          <w:szCs w:val="24"/>
          <w:lang w:val="fr-CA"/>
        </w:rPr>
        <w:t xml:space="preserve">. L’accent mis sur l’expérience éclaire aussi l’approche adoptée par la Cour pour traiter de la discrimination fondée sur l’âge. Comme la Cour l’a souligné dans </w:t>
      </w:r>
      <w:r w:rsidRPr="00255861">
        <w:rPr>
          <w:rFonts w:cs="Times New Roman"/>
          <w:i/>
          <w:szCs w:val="24"/>
          <w:lang w:val="fr-CA"/>
        </w:rPr>
        <w:t>Gosselin</w:t>
      </w:r>
      <w:r w:rsidR="009B4227" w:rsidRPr="00255861">
        <w:rPr>
          <w:rFonts w:cs="Times New Roman"/>
          <w:szCs w:val="24"/>
          <w:lang w:val="fr-CA"/>
        </w:rPr>
        <w:t xml:space="preserve"> en 2002</w:t>
      </w:r>
      <w:r w:rsidR="00572710" w:rsidRPr="00255861">
        <w:rPr>
          <w:rFonts w:cs="Times New Roman"/>
          <w:szCs w:val="24"/>
          <w:lang w:val="fr-CA"/>
        </w:rPr>
        <w:t>, l’âge est un trait identitaire</w:t>
      </w:r>
      <w:r w:rsidRPr="00255861">
        <w:rPr>
          <w:rFonts w:cs="Times New Roman"/>
          <w:szCs w:val="24"/>
          <w:lang w:val="fr-CA"/>
        </w:rPr>
        <w:t xml:space="preserve"> unique</w:t>
      </w:r>
      <w:r w:rsidR="00572710" w:rsidRPr="00255861">
        <w:rPr>
          <w:rFonts w:cs="Times New Roman"/>
          <w:szCs w:val="24"/>
          <w:lang w:val="fr-CA"/>
        </w:rPr>
        <w:t xml:space="preserve"> en son genre</w:t>
      </w:r>
      <w:r w:rsidRPr="00255861">
        <w:rPr>
          <w:rFonts w:cs="Times New Roman"/>
          <w:szCs w:val="24"/>
          <w:lang w:val="fr-CA"/>
        </w:rPr>
        <w:t xml:space="preserve">. Il </w:t>
      </w:r>
      <w:r w:rsidR="00572710" w:rsidRPr="00255861">
        <w:rPr>
          <w:rFonts w:cs="Times New Roman"/>
          <w:szCs w:val="24"/>
          <w:lang w:val="fr-CA"/>
        </w:rPr>
        <w:t xml:space="preserve">distingue </w:t>
      </w:r>
      <w:r w:rsidRPr="00255861">
        <w:rPr>
          <w:rFonts w:cs="Times New Roman"/>
          <w:szCs w:val="24"/>
          <w:lang w:val="fr-CA"/>
        </w:rPr>
        <w:t xml:space="preserve">les individus à un </w:t>
      </w:r>
      <w:r w:rsidR="00572710" w:rsidRPr="00255861">
        <w:rPr>
          <w:rFonts w:cs="Times New Roman"/>
          <w:szCs w:val="24"/>
          <w:lang w:val="fr-CA"/>
        </w:rPr>
        <w:t xml:space="preserve">moment </w:t>
      </w:r>
      <w:r w:rsidR="009B4227" w:rsidRPr="00255861">
        <w:rPr>
          <w:rFonts w:cs="Times New Roman"/>
          <w:szCs w:val="24"/>
          <w:lang w:val="fr-CA"/>
        </w:rPr>
        <w:t xml:space="preserve">donné </w:t>
      </w:r>
      <w:r w:rsidR="00572710" w:rsidRPr="00255861">
        <w:rPr>
          <w:rFonts w:cs="Times New Roman"/>
          <w:szCs w:val="24"/>
          <w:lang w:val="fr-CA"/>
        </w:rPr>
        <w:t>dans le temps. Cependant, il nous</w:t>
      </w:r>
      <w:r w:rsidRPr="00255861">
        <w:rPr>
          <w:rFonts w:cs="Times New Roman"/>
          <w:szCs w:val="24"/>
          <w:lang w:val="fr-CA"/>
        </w:rPr>
        <w:t xml:space="preserve"> unit </w:t>
      </w:r>
      <w:r w:rsidR="00572710" w:rsidRPr="00255861">
        <w:rPr>
          <w:rFonts w:cs="Times New Roman"/>
          <w:szCs w:val="24"/>
          <w:lang w:val="fr-CA"/>
        </w:rPr>
        <w:t xml:space="preserve">en bout de piste </w:t>
      </w:r>
      <w:r w:rsidRPr="00255861">
        <w:rPr>
          <w:rFonts w:cs="Times New Roman"/>
          <w:szCs w:val="24"/>
          <w:lang w:val="fr-CA"/>
        </w:rPr>
        <w:t xml:space="preserve">parce que </w:t>
      </w:r>
      <w:r w:rsidR="00572710" w:rsidRPr="00255861">
        <w:rPr>
          <w:rFonts w:cs="Times New Roman"/>
          <w:szCs w:val="24"/>
          <w:lang w:val="fr-CA"/>
        </w:rPr>
        <w:t>nous faisons tous l’</w:t>
      </w:r>
      <w:bookmarkStart w:id="3" w:name="_Ref477018177"/>
      <w:r w:rsidR="00572710" w:rsidRPr="00255861">
        <w:rPr>
          <w:rFonts w:cs="Times New Roman"/>
          <w:szCs w:val="24"/>
          <w:lang w:val="fr-CA"/>
        </w:rPr>
        <w:t>expérience des diverses positions sur son spectre</w:t>
      </w:r>
      <w:r w:rsidR="00DD3078" w:rsidRPr="00255861">
        <w:rPr>
          <w:rFonts w:cs="Times New Roman"/>
          <w:szCs w:val="24"/>
          <w:lang w:val="fr-CA"/>
        </w:rPr>
        <w:t>, de la venue au monde jusqu’</w:t>
      </w:r>
      <w:r w:rsidR="009B4227" w:rsidRPr="00255861">
        <w:rPr>
          <w:rFonts w:cs="Times New Roman"/>
          <w:szCs w:val="24"/>
          <w:lang w:val="fr-CA"/>
        </w:rPr>
        <w:t>au décès</w:t>
      </w:r>
      <w:r w:rsidRPr="00255861">
        <w:rPr>
          <w:rStyle w:val="Appelnotedebasdep"/>
          <w:rFonts w:cs="Times New Roman"/>
          <w:szCs w:val="24"/>
        </w:rPr>
        <w:footnoteReference w:id="15"/>
      </w:r>
      <w:bookmarkEnd w:id="3"/>
      <w:r w:rsidRPr="00255861">
        <w:rPr>
          <w:rFonts w:cs="Times New Roman"/>
          <w:szCs w:val="24"/>
          <w:lang w:val="fr-CA"/>
        </w:rPr>
        <w:t xml:space="preserve">. Lorsque la Cour sera éventuellement appelée à se pencher sur une question relative à l’identité transgenre, les deux propositions suivantes fourniront </w:t>
      </w:r>
      <w:r w:rsidR="009B4227" w:rsidRPr="00255861">
        <w:rPr>
          <w:rFonts w:cs="Times New Roman"/>
          <w:szCs w:val="24"/>
          <w:lang w:val="fr-CA"/>
        </w:rPr>
        <w:lastRenderedPageBreak/>
        <w:t xml:space="preserve">sûrement deux </w:t>
      </w:r>
      <w:r w:rsidRPr="00255861">
        <w:rPr>
          <w:rFonts w:cs="Times New Roman"/>
          <w:szCs w:val="24"/>
          <w:lang w:val="fr-CA"/>
        </w:rPr>
        <w:t xml:space="preserve">cadres de référence </w:t>
      </w:r>
      <w:r w:rsidR="009B4227" w:rsidRPr="00255861">
        <w:rPr>
          <w:rFonts w:cs="Times New Roman"/>
          <w:szCs w:val="24"/>
          <w:lang w:val="fr-CA"/>
        </w:rPr>
        <w:t xml:space="preserve">que j’estime </w:t>
      </w:r>
      <w:r w:rsidRPr="00255861">
        <w:rPr>
          <w:rFonts w:cs="Times New Roman"/>
          <w:szCs w:val="24"/>
          <w:lang w:val="fr-CA"/>
        </w:rPr>
        <w:t>essentiels : d’une part, l’identité n’est pas immuable, mais elle évolue, et, d’autre part, elle n’est pas innée, mais bien contextuelle.</w:t>
      </w:r>
    </w:p>
    <w:p w:rsidR="00B66E19" w:rsidRPr="00255861" w:rsidRDefault="00B66E19" w:rsidP="00B66E19">
      <w:pPr>
        <w:pStyle w:val="ParaNoNdepar-AltN"/>
        <w:rPr>
          <w:rFonts w:cs="Times New Roman"/>
          <w:szCs w:val="24"/>
          <w:lang w:val="fr-CA"/>
        </w:rPr>
      </w:pPr>
      <w:r w:rsidRPr="00255861">
        <w:rPr>
          <w:rFonts w:cs="Times New Roman"/>
          <w:szCs w:val="24"/>
          <w:lang w:val="fr-CA"/>
        </w:rPr>
        <w:t>J’en arrive do</w:t>
      </w:r>
      <w:r w:rsidR="00A5132B" w:rsidRPr="00255861">
        <w:rPr>
          <w:rFonts w:cs="Times New Roman"/>
          <w:szCs w:val="24"/>
          <w:lang w:val="fr-CA"/>
        </w:rPr>
        <w:t xml:space="preserve">nc au défi à relever. Y a-t-il quelque chose comme </w:t>
      </w:r>
      <w:r w:rsidRPr="00255861">
        <w:rPr>
          <w:rFonts w:cs="Times New Roman"/>
          <w:szCs w:val="24"/>
          <w:lang w:val="fr-CA"/>
        </w:rPr>
        <w:t xml:space="preserve">un excès de contexte ? Il va sans dire que les identités sont incroyablement complexes. Les juges occupent toutefois une fonction institutionnelle qui crée à cet égard une réelle tension : </w:t>
      </w:r>
      <w:r w:rsidR="00FF7317" w:rsidRPr="00255861">
        <w:rPr>
          <w:rFonts w:cs="Times New Roman"/>
          <w:szCs w:val="24"/>
          <w:lang w:val="fr-CA"/>
        </w:rPr>
        <w:t>c</w:t>
      </w:r>
      <w:r w:rsidRPr="00255861">
        <w:rPr>
          <w:rFonts w:cs="Times New Roman"/>
          <w:szCs w:val="24"/>
          <w:lang w:val="fr-CA"/>
        </w:rPr>
        <w:t xml:space="preserve">omment une conception nuancée de l’identité peut-elle, en pratique, se traduire par une jurisprudence viable et cohérente? Des esprits raisonnables peuvent diverger d’opinion </w:t>
      </w:r>
      <w:r w:rsidR="009B4227" w:rsidRPr="00255861">
        <w:rPr>
          <w:rFonts w:cs="Times New Roman"/>
          <w:szCs w:val="24"/>
          <w:lang w:val="fr-CA"/>
        </w:rPr>
        <w:t xml:space="preserve">sur </w:t>
      </w:r>
      <w:r w:rsidRPr="00255861">
        <w:rPr>
          <w:rFonts w:cs="Times New Roman"/>
          <w:szCs w:val="24"/>
          <w:lang w:val="fr-CA"/>
        </w:rPr>
        <w:t>l’équilibre qu</w:t>
      </w:r>
      <w:r w:rsidR="00DD3078" w:rsidRPr="00255861">
        <w:rPr>
          <w:rFonts w:cs="Times New Roman"/>
          <w:szCs w:val="24"/>
          <w:lang w:val="fr-CA"/>
        </w:rPr>
        <w:t xml:space="preserve">’il convient d’établir entre la prise en compte du contexte </w:t>
      </w:r>
      <w:r w:rsidR="00FF7317" w:rsidRPr="00255861">
        <w:rPr>
          <w:rFonts w:cs="Times New Roman"/>
          <w:szCs w:val="24"/>
          <w:lang w:val="fr-CA"/>
        </w:rPr>
        <w:t xml:space="preserve">et </w:t>
      </w:r>
      <w:r w:rsidR="00DD3078" w:rsidRPr="00255861">
        <w:rPr>
          <w:rFonts w:cs="Times New Roman"/>
          <w:szCs w:val="24"/>
          <w:lang w:val="fr-CA"/>
        </w:rPr>
        <w:t>son intelligibilité dans le format judiciaire</w:t>
      </w:r>
      <w:r w:rsidRPr="00255861">
        <w:rPr>
          <w:rFonts w:cs="Times New Roman"/>
          <w:szCs w:val="24"/>
          <w:lang w:val="fr-CA"/>
        </w:rPr>
        <w:t>.</w:t>
      </w:r>
    </w:p>
    <w:p w:rsidR="00B66E19" w:rsidRPr="00255861" w:rsidRDefault="00B66E19" w:rsidP="00E65F23">
      <w:pPr>
        <w:pStyle w:val="ParaNoNdepar-AltN"/>
        <w:rPr>
          <w:rFonts w:cs="Times New Roman"/>
          <w:szCs w:val="24"/>
          <w:lang w:val="fr-CA"/>
        </w:rPr>
      </w:pPr>
      <w:r w:rsidRPr="00255861">
        <w:rPr>
          <w:rFonts w:cs="Times New Roman"/>
          <w:szCs w:val="24"/>
          <w:lang w:val="fr-CA"/>
        </w:rPr>
        <w:t>Avec le recul, je pense que cet exercice de mise en balance est un des facteurs à l’origine de la dissension dans la jurisprudence relative à l’art. 15</w:t>
      </w:r>
      <w:r w:rsidR="00490DCE" w:rsidRPr="00255861">
        <w:rPr>
          <w:rFonts w:cs="Times New Roman"/>
          <w:szCs w:val="24"/>
          <w:lang w:val="fr-CA"/>
        </w:rPr>
        <w:t xml:space="preserve"> de la </w:t>
      </w:r>
      <w:r w:rsidR="00490DCE" w:rsidRPr="00255861">
        <w:rPr>
          <w:rFonts w:cs="Times New Roman"/>
          <w:i/>
          <w:szCs w:val="24"/>
          <w:lang w:val="fr-CA"/>
        </w:rPr>
        <w:t>Charte</w:t>
      </w:r>
      <w:r w:rsidRPr="00255861">
        <w:rPr>
          <w:rStyle w:val="Appelnotedebasdep"/>
          <w:rFonts w:cs="Times New Roman"/>
          <w:szCs w:val="24"/>
        </w:rPr>
        <w:footnoteReference w:id="16"/>
      </w:r>
      <w:r w:rsidR="00412BF3" w:rsidRPr="00255861">
        <w:rPr>
          <w:rFonts w:cs="Times New Roman"/>
          <w:szCs w:val="24"/>
          <w:lang w:val="fr-CA"/>
        </w:rPr>
        <w:t xml:space="preserve">. Cet article qui prévoit que </w:t>
      </w:r>
      <w:r w:rsidR="00E65F23" w:rsidRPr="00255861">
        <w:rPr>
          <w:rFonts w:cs="Times New Roman"/>
          <w:szCs w:val="24"/>
          <w:lang w:val="fr-CA"/>
        </w:rPr>
        <w:t>« </w:t>
      </w:r>
      <w:r w:rsidR="00BD25CE" w:rsidRPr="00255861">
        <w:rPr>
          <w:rFonts w:cs="Times New Roman"/>
          <w:szCs w:val="24"/>
          <w:lang w:val="fr-CA"/>
        </w:rPr>
        <w:t>La loi ne fait ac</w:t>
      </w:r>
      <w:r w:rsidR="00E65F23" w:rsidRPr="00255861">
        <w:rPr>
          <w:rFonts w:cs="Times New Roman"/>
          <w:szCs w:val="24"/>
          <w:lang w:val="fr-CA"/>
        </w:rPr>
        <w:t>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w:t>
      </w:r>
      <w:r w:rsidRPr="00255861">
        <w:rPr>
          <w:rFonts w:cs="Times New Roman"/>
          <w:szCs w:val="24"/>
          <w:lang w:val="fr-CA"/>
        </w:rPr>
        <w:t>. Dans les années 90, un des débats a porté sur les limites de l’art. 15 aux motifs énumérés et analogues. La juge L’Heureux-Dubé a résisté à l’utilisation de catégories pour définir la discrimination</w:t>
      </w:r>
      <w:r w:rsidRPr="00255861">
        <w:rPr>
          <w:rStyle w:val="Appelnotedebasdep"/>
          <w:rFonts w:cs="Times New Roman"/>
          <w:szCs w:val="24"/>
        </w:rPr>
        <w:footnoteReference w:id="17"/>
      </w:r>
      <w:r w:rsidRPr="00255861">
        <w:rPr>
          <w:rFonts w:cs="Times New Roman"/>
          <w:szCs w:val="24"/>
          <w:lang w:val="fr-CA"/>
        </w:rPr>
        <w:t>. Suivant son raisonnement, mettre l’accent sur des catégories abstraites s’éloignait trop des expériences véritables de discrimination vécues par les individus</w:t>
      </w:r>
      <w:r w:rsidRPr="00255861">
        <w:rPr>
          <w:rStyle w:val="Appelnotedebasdep"/>
          <w:rFonts w:cs="Times New Roman"/>
          <w:szCs w:val="24"/>
        </w:rPr>
        <w:footnoteReference w:id="18"/>
      </w:r>
      <w:r w:rsidRPr="00255861">
        <w:rPr>
          <w:rFonts w:cs="Times New Roman"/>
          <w:szCs w:val="24"/>
          <w:lang w:val="fr-CA"/>
        </w:rPr>
        <w:t xml:space="preserve">.  Quoi qu’il en soit, l’approche fondée sur les motifs analogues l’a emporté. Elle recentrait l’analyse sur le contexte et l’expérience. Un motif </w:t>
      </w:r>
      <w:r w:rsidR="00DD3078" w:rsidRPr="00255861">
        <w:rPr>
          <w:rFonts w:cs="Times New Roman"/>
          <w:szCs w:val="24"/>
          <w:lang w:val="fr-CA"/>
        </w:rPr>
        <w:lastRenderedPageBreak/>
        <w:t xml:space="preserve">est </w:t>
      </w:r>
      <w:r w:rsidRPr="00255861">
        <w:rPr>
          <w:rFonts w:cs="Times New Roman"/>
          <w:szCs w:val="24"/>
          <w:lang w:val="fr-CA"/>
        </w:rPr>
        <w:t xml:space="preserve">analogue </w:t>
      </w:r>
      <w:r w:rsidR="00DD3078" w:rsidRPr="00255861">
        <w:rPr>
          <w:rFonts w:cs="Times New Roman"/>
          <w:szCs w:val="24"/>
          <w:lang w:val="fr-CA"/>
        </w:rPr>
        <w:t>lorsque</w:t>
      </w:r>
      <w:r w:rsidRPr="00255861">
        <w:rPr>
          <w:rFonts w:cs="Times New Roman"/>
          <w:szCs w:val="24"/>
          <w:lang w:val="fr-CA"/>
        </w:rPr>
        <w:t xml:space="preserve"> fondé sur « une caractéristique personnelle qui est [. . .] modifiable uniquement à un prix inacceptable du point de vue de l’identité personnelle »</w:t>
      </w:r>
      <w:bookmarkStart w:id="4" w:name="_Ref477120223"/>
      <w:r w:rsidRPr="00255861">
        <w:rPr>
          <w:rStyle w:val="Appelnotedebasdep"/>
          <w:rFonts w:cs="Times New Roman"/>
          <w:szCs w:val="24"/>
        </w:rPr>
        <w:footnoteReference w:id="19"/>
      </w:r>
      <w:bookmarkEnd w:id="4"/>
      <w:r w:rsidRPr="00255861">
        <w:rPr>
          <w:rFonts w:cs="Times New Roman"/>
          <w:szCs w:val="24"/>
          <w:lang w:val="fr-CA"/>
        </w:rPr>
        <w:t>. L’essentiel de l’examen porte sur l’ampleur du choix dont un individu ferait véritablement l’</w:t>
      </w:r>
      <w:r w:rsidRPr="00255861">
        <w:rPr>
          <w:rFonts w:cs="Times New Roman"/>
          <w:i/>
          <w:szCs w:val="24"/>
          <w:lang w:val="fr-CA"/>
        </w:rPr>
        <w:t>expérience</w:t>
      </w:r>
      <w:r w:rsidRPr="00255861">
        <w:rPr>
          <w:rFonts w:cs="Times New Roman"/>
          <w:szCs w:val="24"/>
          <w:lang w:val="fr-CA"/>
        </w:rPr>
        <w:t xml:space="preserve"> lorsqu’il est question de changer</w:t>
      </w:r>
      <w:r w:rsidR="00DD3078" w:rsidRPr="00255861">
        <w:rPr>
          <w:rFonts w:cs="Times New Roman"/>
          <w:szCs w:val="24"/>
          <w:lang w:val="fr-CA"/>
        </w:rPr>
        <w:t xml:space="preserve"> cette caractéristique personnelle.</w:t>
      </w:r>
      <w:r w:rsidRPr="00255861">
        <w:rPr>
          <w:rFonts w:cs="Times New Roman"/>
          <w:szCs w:val="24"/>
          <w:lang w:val="fr-CA"/>
        </w:rPr>
        <w:t xml:space="preserve"> Cela a été déterminant, par exemple, dans l’arrêt </w:t>
      </w:r>
      <w:r w:rsidRPr="00255861">
        <w:rPr>
          <w:rFonts w:cs="Times New Roman"/>
          <w:i/>
          <w:szCs w:val="24"/>
          <w:lang w:val="fr-CA"/>
        </w:rPr>
        <w:t>Corbière</w:t>
      </w:r>
      <w:r w:rsidRPr="00255861">
        <w:rPr>
          <w:rFonts w:cs="Times New Roman"/>
          <w:szCs w:val="24"/>
          <w:lang w:val="fr-CA"/>
        </w:rPr>
        <w:t xml:space="preserve"> </w:t>
      </w:r>
      <w:r w:rsidR="00314299" w:rsidRPr="00255861">
        <w:rPr>
          <w:rFonts w:cs="Times New Roman"/>
          <w:szCs w:val="24"/>
          <w:lang w:val="fr-CA"/>
        </w:rPr>
        <w:t xml:space="preserve">en 1999 alors que </w:t>
      </w:r>
      <w:r w:rsidRPr="00255861">
        <w:rPr>
          <w:rFonts w:cs="Times New Roman"/>
          <w:szCs w:val="24"/>
          <w:lang w:val="fr-CA"/>
        </w:rPr>
        <w:t>la Cour a décidé que</w:t>
      </w:r>
      <w:r w:rsidR="00DD3078" w:rsidRPr="00255861">
        <w:rPr>
          <w:rFonts w:cs="Times New Roman"/>
          <w:szCs w:val="24"/>
          <w:lang w:val="fr-CA"/>
        </w:rPr>
        <w:t xml:space="preserve"> malgré le fait que le lieu de résidence ne soit</w:t>
      </w:r>
      <w:r w:rsidRPr="00255861">
        <w:rPr>
          <w:rFonts w:cs="Times New Roman"/>
          <w:szCs w:val="24"/>
          <w:lang w:val="fr-CA"/>
        </w:rPr>
        <w:t xml:space="preserve"> pas</w:t>
      </w:r>
      <w:r w:rsidR="00FF7317" w:rsidRPr="00255861">
        <w:rPr>
          <w:rFonts w:cs="Times New Roman"/>
          <w:szCs w:val="24"/>
          <w:lang w:val="fr-CA"/>
        </w:rPr>
        <w:t xml:space="preserve"> </w:t>
      </w:r>
      <w:r w:rsidRPr="00255861">
        <w:rPr>
          <w:rFonts w:cs="Times New Roman"/>
          <w:szCs w:val="24"/>
          <w:lang w:val="fr-CA"/>
        </w:rPr>
        <w:t xml:space="preserve">un motif analogue, </w:t>
      </w:r>
      <w:r w:rsidR="00DD3078" w:rsidRPr="00255861">
        <w:rPr>
          <w:rFonts w:cs="Times New Roman"/>
          <w:szCs w:val="24"/>
          <w:lang w:val="fr-CA"/>
        </w:rPr>
        <w:t xml:space="preserve">l’emplacement d’une résidence </w:t>
      </w:r>
      <w:r w:rsidRPr="00255861">
        <w:rPr>
          <w:rFonts w:cs="Times New Roman"/>
          <w:szCs w:val="24"/>
          <w:lang w:val="fr-CA"/>
        </w:rPr>
        <w:t xml:space="preserve">à l’intérieur ou à l’extérieur d’une réserve </w:t>
      </w:r>
      <w:r w:rsidR="00953E40" w:rsidRPr="00255861">
        <w:rPr>
          <w:rFonts w:cs="Times New Roman"/>
          <w:szCs w:val="24"/>
          <w:lang w:val="fr-CA"/>
        </w:rPr>
        <w:t>a</w:t>
      </w:r>
      <w:r w:rsidR="00490DCE" w:rsidRPr="00255861">
        <w:rPr>
          <w:rFonts w:cs="Times New Roman"/>
          <w:szCs w:val="24"/>
          <w:lang w:val="fr-CA"/>
        </w:rPr>
        <w:t xml:space="preserve">utochtone </w:t>
      </w:r>
      <w:r w:rsidRPr="00255861">
        <w:rPr>
          <w:rFonts w:cs="Times New Roman"/>
          <w:szCs w:val="24"/>
          <w:lang w:val="fr-CA"/>
        </w:rPr>
        <w:t>constitue, lui, un tel motif. Dans la mesure où il s’agit</w:t>
      </w:r>
      <w:r w:rsidR="00DD3078" w:rsidRPr="00255861">
        <w:rPr>
          <w:rFonts w:cs="Times New Roman"/>
          <w:szCs w:val="24"/>
          <w:lang w:val="fr-CA"/>
        </w:rPr>
        <w:t xml:space="preserve"> réellement</w:t>
      </w:r>
      <w:r w:rsidRPr="00255861">
        <w:rPr>
          <w:rFonts w:cs="Times New Roman"/>
          <w:szCs w:val="24"/>
          <w:lang w:val="fr-CA"/>
        </w:rPr>
        <w:t xml:space="preserve"> d’un choix,</w:t>
      </w:r>
      <w:r w:rsidR="00DD3078" w:rsidRPr="00255861">
        <w:rPr>
          <w:rFonts w:cs="Times New Roman"/>
          <w:szCs w:val="24"/>
          <w:lang w:val="fr-CA"/>
        </w:rPr>
        <w:t xml:space="preserve"> le fait de</w:t>
      </w:r>
      <w:r w:rsidRPr="00255861">
        <w:rPr>
          <w:rFonts w:cs="Times New Roman"/>
          <w:szCs w:val="24"/>
          <w:lang w:val="fr-CA"/>
        </w:rPr>
        <w:t xml:space="preserve"> vivre à l’intérieur ou</w:t>
      </w:r>
      <w:r w:rsidR="00DD3078" w:rsidRPr="00255861">
        <w:rPr>
          <w:rFonts w:cs="Times New Roman"/>
          <w:szCs w:val="24"/>
          <w:lang w:val="fr-CA"/>
        </w:rPr>
        <w:t xml:space="preserve"> à l’extérieur d’une réserve revêt une importance </w:t>
      </w:r>
      <w:r w:rsidRPr="00255861">
        <w:rPr>
          <w:rFonts w:cs="Times New Roman"/>
          <w:szCs w:val="24"/>
          <w:lang w:val="fr-CA"/>
        </w:rPr>
        <w:t>fondam</w:t>
      </w:r>
      <w:r w:rsidR="00DD3078" w:rsidRPr="00255861">
        <w:rPr>
          <w:rFonts w:cs="Times New Roman"/>
          <w:szCs w:val="24"/>
          <w:lang w:val="fr-CA"/>
        </w:rPr>
        <w:t>entale</w:t>
      </w:r>
      <w:r w:rsidR="00490DCE" w:rsidRPr="00255861">
        <w:rPr>
          <w:rFonts w:cs="Times New Roman"/>
          <w:szCs w:val="24"/>
          <w:lang w:val="fr-CA"/>
        </w:rPr>
        <w:t xml:space="preserve"> sur la façon dont se perçoivent les Autochtones</w:t>
      </w:r>
      <w:r w:rsidR="00DD3078" w:rsidRPr="00255861">
        <w:rPr>
          <w:rFonts w:cs="Times New Roman"/>
          <w:szCs w:val="24"/>
          <w:lang w:val="fr-CA"/>
        </w:rPr>
        <w:t>, comparativement à la</w:t>
      </w:r>
      <w:r w:rsidRPr="00255861">
        <w:rPr>
          <w:rFonts w:cs="Times New Roman"/>
          <w:szCs w:val="24"/>
          <w:lang w:val="fr-CA"/>
        </w:rPr>
        <w:t xml:space="preserve"> </w:t>
      </w:r>
      <w:r w:rsidR="00DD3078" w:rsidRPr="00255861">
        <w:rPr>
          <w:rFonts w:cs="Times New Roman"/>
          <w:szCs w:val="24"/>
          <w:lang w:val="fr-CA"/>
        </w:rPr>
        <w:t>décision de choisir d’élire domicile à Montréal plutôt qu’à Longueuil</w:t>
      </w:r>
      <w:r w:rsidRPr="00255861">
        <w:rPr>
          <w:rStyle w:val="Appelnotedebasdep"/>
          <w:rFonts w:cs="Times New Roman"/>
          <w:szCs w:val="24"/>
        </w:rPr>
        <w:footnoteReference w:id="20"/>
      </w:r>
      <w:r w:rsidR="00DD3078" w:rsidRPr="00255861">
        <w:rPr>
          <w:rFonts w:cs="Times New Roman"/>
          <w:szCs w:val="24"/>
          <w:lang w:val="fr-CA"/>
        </w:rPr>
        <w:t>.</w:t>
      </w:r>
      <w:r w:rsidR="00314299" w:rsidRPr="00255861">
        <w:rPr>
          <w:rFonts w:cs="Times New Roman"/>
          <w:szCs w:val="24"/>
          <w:lang w:val="fr-CA"/>
        </w:rPr>
        <w:t xml:space="preserve"> Mais </w:t>
      </w:r>
      <w:r w:rsidR="00BD25CE" w:rsidRPr="00255861">
        <w:rPr>
          <w:rFonts w:cs="Times New Roman"/>
          <w:szCs w:val="24"/>
          <w:lang w:val="fr-CA"/>
        </w:rPr>
        <w:t xml:space="preserve">j’admets que </w:t>
      </w:r>
      <w:r w:rsidR="00314299" w:rsidRPr="00255861">
        <w:rPr>
          <w:rFonts w:cs="Times New Roman"/>
          <w:szCs w:val="24"/>
          <w:lang w:val="fr-CA"/>
        </w:rPr>
        <w:t>certains p</w:t>
      </w:r>
      <w:r w:rsidR="00BD25CE" w:rsidRPr="00255861">
        <w:rPr>
          <w:rFonts w:cs="Times New Roman"/>
          <w:szCs w:val="24"/>
          <w:lang w:val="fr-CA"/>
        </w:rPr>
        <w:t>eu</w:t>
      </w:r>
      <w:r w:rsidR="00314299" w:rsidRPr="00255861">
        <w:rPr>
          <w:rFonts w:cs="Times New Roman"/>
          <w:szCs w:val="24"/>
          <w:lang w:val="fr-CA"/>
        </w:rPr>
        <w:t xml:space="preserve">vent diverger </w:t>
      </w:r>
      <w:r w:rsidR="00BD25CE" w:rsidRPr="00255861">
        <w:rPr>
          <w:rFonts w:cs="Times New Roman"/>
          <w:szCs w:val="24"/>
          <w:lang w:val="fr-CA"/>
        </w:rPr>
        <w:t>d’opinion</w:t>
      </w:r>
      <w:r w:rsidR="00314299" w:rsidRPr="00255861">
        <w:rPr>
          <w:rFonts w:cs="Times New Roman"/>
          <w:szCs w:val="24"/>
          <w:lang w:val="fr-CA"/>
        </w:rPr>
        <w:t xml:space="preserve"> sur ce dernier exemple!</w:t>
      </w:r>
    </w:p>
    <w:p w:rsidR="00B66E19" w:rsidRPr="00255861" w:rsidRDefault="00F860AE" w:rsidP="000E2821">
      <w:pPr>
        <w:pStyle w:val="ParaNoNdepar-AltN"/>
        <w:rPr>
          <w:rFonts w:cs="Times New Roman"/>
          <w:szCs w:val="24"/>
          <w:lang w:val="fr-CA"/>
        </w:rPr>
      </w:pPr>
      <w:r w:rsidRPr="00255861">
        <w:rPr>
          <w:rFonts w:cs="Times New Roman"/>
          <w:szCs w:val="24"/>
          <w:lang w:val="fr-CA"/>
        </w:rPr>
        <w:t xml:space="preserve">Sous l’angle de l’expérience, </w:t>
      </w:r>
      <w:r w:rsidR="00B66E19" w:rsidRPr="00255861">
        <w:rPr>
          <w:rFonts w:cs="Times New Roman"/>
          <w:szCs w:val="24"/>
          <w:lang w:val="fr-CA"/>
        </w:rPr>
        <w:t xml:space="preserve">la discrimination </w:t>
      </w:r>
      <w:r w:rsidRPr="00255861">
        <w:rPr>
          <w:rFonts w:cs="Times New Roman"/>
          <w:szCs w:val="24"/>
          <w:lang w:val="fr-CA"/>
        </w:rPr>
        <w:t xml:space="preserve">peut </w:t>
      </w:r>
      <w:r w:rsidR="00B66E19" w:rsidRPr="00255861">
        <w:rPr>
          <w:rFonts w:cs="Times New Roman"/>
          <w:szCs w:val="24"/>
          <w:lang w:val="fr-CA"/>
        </w:rPr>
        <w:t>varie</w:t>
      </w:r>
      <w:r w:rsidRPr="00255861">
        <w:rPr>
          <w:rFonts w:cs="Times New Roman"/>
          <w:szCs w:val="24"/>
          <w:lang w:val="fr-CA"/>
        </w:rPr>
        <w:t>r</w:t>
      </w:r>
      <w:r w:rsidR="00B66E19" w:rsidRPr="00255861">
        <w:rPr>
          <w:rFonts w:cs="Times New Roman"/>
          <w:szCs w:val="24"/>
          <w:lang w:val="fr-CA"/>
        </w:rPr>
        <w:t xml:space="preserve"> </w:t>
      </w:r>
      <w:r w:rsidR="00F27995" w:rsidRPr="00255861">
        <w:rPr>
          <w:rFonts w:cs="Times New Roman"/>
          <w:szCs w:val="24"/>
          <w:lang w:val="fr-CA"/>
        </w:rPr>
        <w:t>en fonction d</w:t>
      </w:r>
      <w:r w:rsidR="001D4AF8" w:rsidRPr="00255861">
        <w:rPr>
          <w:rFonts w:cs="Times New Roman"/>
          <w:szCs w:val="24"/>
          <w:lang w:val="fr-CA"/>
        </w:rPr>
        <w:t>e l’interaction entre différents marqueurs identitaires</w:t>
      </w:r>
      <w:r w:rsidR="00B66E19" w:rsidRPr="00255861">
        <w:rPr>
          <w:rFonts w:cs="Times New Roman"/>
          <w:szCs w:val="24"/>
          <w:lang w:val="fr-CA"/>
        </w:rPr>
        <w:t xml:space="preserve">. À titre d’illustration, l’expérience vécue par une femme qui est membre d’une minorité visible peut être totalement différente de celle d’un jeune homme portant les mêmes caractéristiques. Si l’un d’eux n’est pas citoyen, ou se distingue par une orientation sexuelle différente, </w:t>
      </w:r>
      <w:r w:rsidR="00314299" w:rsidRPr="00255861">
        <w:rPr>
          <w:rFonts w:cs="Times New Roman"/>
          <w:szCs w:val="24"/>
          <w:lang w:val="fr-CA"/>
        </w:rPr>
        <w:t xml:space="preserve">alors lié, </w:t>
      </w:r>
      <w:r w:rsidR="00B66E19" w:rsidRPr="00255861">
        <w:rPr>
          <w:rFonts w:cs="Times New Roman"/>
          <w:szCs w:val="24"/>
          <w:lang w:val="fr-CA"/>
        </w:rPr>
        <w:t>ces expériences se</w:t>
      </w:r>
      <w:r w:rsidR="00F27995" w:rsidRPr="00255861">
        <w:rPr>
          <w:rFonts w:cs="Times New Roman"/>
          <w:szCs w:val="24"/>
          <w:lang w:val="fr-CA"/>
        </w:rPr>
        <w:t>ront</w:t>
      </w:r>
      <w:r w:rsidR="00B66E19" w:rsidRPr="00255861">
        <w:rPr>
          <w:rFonts w:cs="Times New Roman"/>
          <w:szCs w:val="24"/>
          <w:lang w:val="fr-CA"/>
        </w:rPr>
        <w:t xml:space="preserve"> d’autant plus </w:t>
      </w:r>
      <w:r w:rsidR="00F27995" w:rsidRPr="00255861">
        <w:rPr>
          <w:rFonts w:cs="Times New Roman"/>
          <w:szCs w:val="24"/>
          <w:lang w:val="fr-CA"/>
        </w:rPr>
        <w:t>singulières.</w:t>
      </w:r>
      <w:r w:rsidR="00B66E19" w:rsidRPr="00255861">
        <w:rPr>
          <w:rFonts w:cs="Times New Roman"/>
          <w:szCs w:val="24"/>
          <w:lang w:val="fr-CA"/>
        </w:rPr>
        <w:t xml:space="preserve"> La Cour s’est engagée à traiter </w:t>
      </w:r>
      <w:r w:rsidR="0025239E" w:rsidRPr="00255861">
        <w:rPr>
          <w:rFonts w:cs="Times New Roman"/>
          <w:szCs w:val="24"/>
          <w:lang w:val="fr-CA"/>
        </w:rPr>
        <w:t>le chevauchement des facteurs discriminatoires</w:t>
      </w:r>
      <w:r w:rsidR="00B66E19" w:rsidRPr="00255861">
        <w:rPr>
          <w:rStyle w:val="Appelnotedebasdep"/>
          <w:rFonts w:cs="Times New Roman"/>
          <w:szCs w:val="24"/>
        </w:rPr>
        <w:footnoteReference w:id="21"/>
      </w:r>
      <w:r w:rsidR="0025239E" w:rsidRPr="00255861">
        <w:rPr>
          <w:rFonts w:cs="Times New Roman"/>
          <w:szCs w:val="24"/>
          <w:lang w:val="fr-CA"/>
        </w:rPr>
        <w:t>. Néanmoins,</w:t>
      </w:r>
      <w:r w:rsidR="00B66E19" w:rsidRPr="00255861">
        <w:rPr>
          <w:rFonts w:cs="Times New Roman"/>
          <w:szCs w:val="24"/>
          <w:lang w:val="fr-CA"/>
        </w:rPr>
        <w:t xml:space="preserve"> avec chaque</w:t>
      </w:r>
      <w:r w:rsidR="0025239E" w:rsidRPr="00255861">
        <w:rPr>
          <w:rFonts w:cs="Times New Roman"/>
          <w:szCs w:val="24"/>
          <w:lang w:val="fr-CA"/>
        </w:rPr>
        <w:t xml:space="preserve"> ajout d’une nuance dans l’expérience de discrimination, </w:t>
      </w:r>
      <w:r w:rsidR="00B66E19" w:rsidRPr="00255861">
        <w:rPr>
          <w:rFonts w:cs="Times New Roman"/>
          <w:szCs w:val="24"/>
          <w:lang w:val="fr-CA"/>
        </w:rPr>
        <w:t>la complexité de la question</w:t>
      </w:r>
      <w:r w:rsidR="0025239E" w:rsidRPr="00255861">
        <w:rPr>
          <w:rFonts w:cs="Times New Roman"/>
          <w:szCs w:val="24"/>
          <w:lang w:val="fr-CA"/>
        </w:rPr>
        <w:t xml:space="preserve"> en litige</w:t>
      </w:r>
      <w:r w:rsidR="001D4AF8" w:rsidRPr="00255861">
        <w:rPr>
          <w:rFonts w:cs="Times New Roman"/>
          <w:szCs w:val="24"/>
          <w:lang w:val="fr-CA"/>
        </w:rPr>
        <w:t xml:space="preserve"> augmente</w:t>
      </w:r>
      <w:r w:rsidR="00B66E19" w:rsidRPr="00255861">
        <w:rPr>
          <w:rFonts w:cs="Times New Roman"/>
          <w:szCs w:val="24"/>
          <w:lang w:val="fr-CA"/>
        </w:rPr>
        <w:t xml:space="preserve">. </w:t>
      </w:r>
      <w:r w:rsidRPr="00255861">
        <w:rPr>
          <w:rFonts w:cs="Times New Roman"/>
          <w:szCs w:val="24"/>
          <w:lang w:val="fr-CA"/>
        </w:rPr>
        <w:t>P</w:t>
      </w:r>
      <w:r w:rsidR="00B66E19" w:rsidRPr="00255861">
        <w:rPr>
          <w:rFonts w:cs="Times New Roman"/>
          <w:szCs w:val="24"/>
          <w:lang w:val="fr-CA"/>
        </w:rPr>
        <w:t>our être pratiques, les outils d’analy</w:t>
      </w:r>
      <w:r w:rsidR="0017227C" w:rsidRPr="00255861">
        <w:rPr>
          <w:rFonts w:cs="Times New Roman"/>
          <w:szCs w:val="24"/>
          <w:lang w:val="fr-CA"/>
        </w:rPr>
        <w:t xml:space="preserve">se dont nous nous servons pour aborder </w:t>
      </w:r>
      <w:r w:rsidR="00B66E19" w:rsidRPr="00255861">
        <w:rPr>
          <w:rFonts w:cs="Times New Roman"/>
          <w:szCs w:val="24"/>
          <w:lang w:val="fr-CA"/>
        </w:rPr>
        <w:t>la notio</w:t>
      </w:r>
      <w:r w:rsidR="00880650" w:rsidRPr="00255861">
        <w:rPr>
          <w:rFonts w:cs="Times New Roman"/>
          <w:szCs w:val="24"/>
          <w:lang w:val="fr-CA"/>
        </w:rPr>
        <w:t>n d’identité doivent s’intégrer</w:t>
      </w:r>
      <w:r w:rsidR="00B66E19" w:rsidRPr="00255861">
        <w:rPr>
          <w:rFonts w:cs="Times New Roman"/>
          <w:szCs w:val="24"/>
          <w:lang w:val="fr-CA"/>
        </w:rPr>
        <w:t xml:space="preserve"> dans les limites institutionnelles des instances judiciaires.</w:t>
      </w:r>
      <w:r w:rsidR="0017227C" w:rsidRPr="00255861">
        <w:rPr>
          <w:rFonts w:cs="Times New Roman"/>
          <w:szCs w:val="24"/>
          <w:lang w:val="fr-CA"/>
        </w:rPr>
        <w:t xml:space="preserve"> Elles </w:t>
      </w:r>
      <w:r w:rsidR="0017227C" w:rsidRPr="00255861">
        <w:rPr>
          <w:rFonts w:cs="Times New Roman"/>
          <w:szCs w:val="24"/>
          <w:lang w:val="fr-CA"/>
        </w:rPr>
        <w:lastRenderedPageBreak/>
        <w:t>doivent être compatibles avec les impératifs des</w:t>
      </w:r>
      <w:r w:rsidR="00B66E19" w:rsidRPr="00255861">
        <w:rPr>
          <w:rFonts w:cs="Times New Roman"/>
          <w:szCs w:val="24"/>
          <w:lang w:val="fr-CA"/>
        </w:rPr>
        <w:t xml:space="preserve"> règles de preuve. </w:t>
      </w:r>
      <w:r w:rsidR="0017227C" w:rsidRPr="00255861">
        <w:rPr>
          <w:rFonts w:cs="Times New Roman"/>
          <w:szCs w:val="24"/>
          <w:lang w:val="fr-CA"/>
        </w:rPr>
        <w:t xml:space="preserve">Une emphase excessive </w:t>
      </w:r>
      <w:r w:rsidR="00B66E19" w:rsidRPr="00255861">
        <w:rPr>
          <w:rFonts w:cs="Times New Roman"/>
          <w:szCs w:val="24"/>
          <w:lang w:val="fr-CA"/>
        </w:rPr>
        <w:t xml:space="preserve">sur le contexte et les circonstances propres à des groupes en particulier </w:t>
      </w:r>
      <w:r w:rsidR="00314299" w:rsidRPr="00255861">
        <w:rPr>
          <w:rFonts w:cs="Times New Roman"/>
          <w:szCs w:val="24"/>
          <w:lang w:val="fr-CA"/>
        </w:rPr>
        <w:t>risque d’</w:t>
      </w:r>
      <w:r w:rsidR="0074709A" w:rsidRPr="00255861">
        <w:rPr>
          <w:rFonts w:cs="Times New Roman"/>
          <w:szCs w:val="24"/>
          <w:lang w:val="fr-CA"/>
        </w:rPr>
        <w:t>érode</w:t>
      </w:r>
      <w:r w:rsidR="00314299" w:rsidRPr="00255861">
        <w:rPr>
          <w:rFonts w:cs="Times New Roman"/>
          <w:szCs w:val="24"/>
          <w:lang w:val="fr-CA"/>
        </w:rPr>
        <w:t>r</w:t>
      </w:r>
      <w:r w:rsidR="0017227C" w:rsidRPr="00255861">
        <w:rPr>
          <w:rFonts w:cs="Times New Roman"/>
          <w:szCs w:val="24"/>
          <w:lang w:val="fr-CA"/>
        </w:rPr>
        <w:t xml:space="preserve"> la fonctionnalité de l’analyse. </w:t>
      </w:r>
      <w:r w:rsidR="00B66E19" w:rsidRPr="00255861">
        <w:rPr>
          <w:rFonts w:cs="Times New Roman"/>
          <w:szCs w:val="24"/>
          <w:lang w:val="fr-CA"/>
        </w:rPr>
        <w:t>Cela</w:t>
      </w:r>
      <w:r w:rsidR="0017227C" w:rsidRPr="00255861">
        <w:rPr>
          <w:rFonts w:cs="Times New Roman"/>
          <w:szCs w:val="24"/>
          <w:lang w:val="fr-CA"/>
        </w:rPr>
        <w:t xml:space="preserve"> nous empêche</w:t>
      </w:r>
      <w:r w:rsidR="00B66E19" w:rsidRPr="00255861">
        <w:rPr>
          <w:rFonts w:cs="Times New Roman"/>
          <w:szCs w:val="24"/>
          <w:lang w:val="fr-CA"/>
        </w:rPr>
        <w:t xml:space="preserve"> d’articuler un principe applicable au-delà des limites</w:t>
      </w:r>
      <w:r w:rsidR="0017227C" w:rsidRPr="00255861">
        <w:rPr>
          <w:rFonts w:cs="Times New Roman"/>
          <w:szCs w:val="24"/>
          <w:lang w:val="fr-CA"/>
        </w:rPr>
        <w:t xml:space="preserve"> factuelles</w:t>
      </w:r>
      <w:r w:rsidR="00B66E19" w:rsidRPr="00255861">
        <w:rPr>
          <w:rFonts w:cs="Times New Roman"/>
          <w:szCs w:val="24"/>
          <w:lang w:val="fr-CA"/>
        </w:rPr>
        <w:t xml:space="preserve"> d’une </w:t>
      </w:r>
      <w:r w:rsidR="0017227C" w:rsidRPr="00255861">
        <w:rPr>
          <w:rFonts w:cs="Times New Roman"/>
          <w:szCs w:val="24"/>
          <w:lang w:val="fr-CA"/>
        </w:rPr>
        <w:t>affaire</w:t>
      </w:r>
      <w:r w:rsidR="00B66E19" w:rsidRPr="00255861">
        <w:rPr>
          <w:rFonts w:cs="Times New Roman"/>
          <w:szCs w:val="24"/>
          <w:lang w:val="fr-CA"/>
        </w:rPr>
        <w:t xml:space="preserve">. Pour donner aux </w:t>
      </w:r>
      <w:r w:rsidR="0017227C" w:rsidRPr="00255861">
        <w:rPr>
          <w:rFonts w:cs="Times New Roman"/>
          <w:szCs w:val="24"/>
          <w:lang w:val="fr-CA"/>
        </w:rPr>
        <w:t xml:space="preserve">acteurs </w:t>
      </w:r>
      <w:r w:rsidR="00B66E19" w:rsidRPr="00255861">
        <w:rPr>
          <w:rFonts w:cs="Times New Roman"/>
          <w:szCs w:val="24"/>
          <w:lang w:val="fr-CA"/>
        </w:rPr>
        <w:t>gouvernement</w:t>
      </w:r>
      <w:r w:rsidR="0017227C" w:rsidRPr="00255861">
        <w:rPr>
          <w:rFonts w:cs="Times New Roman"/>
          <w:szCs w:val="24"/>
          <w:lang w:val="fr-CA"/>
        </w:rPr>
        <w:t>aux</w:t>
      </w:r>
      <w:r w:rsidR="00B66E19" w:rsidRPr="00255861">
        <w:rPr>
          <w:rFonts w:cs="Times New Roman"/>
          <w:szCs w:val="24"/>
          <w:lang w:val="fr-CA"/>
        </w:rPr>
        <w:t>, aux tribunaux d’instance</w:t>
      </w:r>
      <w:r w:rsidR="00255861" w:rsidRPr="00255861">
        <w:rPr>
          <w:rFonts w:cs="Times New Roman"/>
          <w:szCs w:val="24"/>
          <w:lang w:val="fr-CA"/>
        </w:rPr>
        <w:t>s</w:t>
      </w:r>
      <w:r w:rsidR="00255861">
        <w:rPr>
          <w:rFonts w:cs="Times New Roman"/>
          <w:szCs w:val="24"/>
          <w:lang w:val="fr-CA"/>
        </w:rPr>
        <w:t xml:space="preserve"> </w:t>
      </w:r>
      <w:r w:rsidR="00255861" w:rsidRPr="00255861">
        <w:rPr>
          <w:rFonts w:cs="Times New Roman"/>
          <w:szCs w:val="24"/>
          <w:lang w:val="fr-CA"/>
        </w:rPr>
        <w:t>e</w:t>
      </w:r>
      <w:r w:rsidR="00B66E19" w:rsidRPr="00255861">
        <w:rPr>
          <w:rFonts w:cs="Times New Roman"/>
          <w:szCs w:val="24"/>
          <w:lang w:val="fr-CA"/>
        </w:rPr>
        <w:t xml:space="preserve">t </w:t>
      </w:r>
      <w:r w:rsidR="0017227C" w:rsidRPr="00255861">
        <w:rPr>
          <w:rFonts w:cs="Times New Roman"/>
          <w:szCs w:val="24"/>
          <w:lang w:val="fr-CA"/>
        </w:rPr>
        <w:t xml:space="preserve">aux </w:t>
      </w:r>
      <w:r w:rsidR="00B66E19" w:rsidRPr="00255861">
        <w:rPr>
          <w:rFonts w:cs="Times New Roman"/>
          <w:szCs w:val="24"/>
          <w:lang w:val="fr-CA"/>
        </w:rPr>
        <w:t>justiciables des paramètres clairs et la certitude</w:t>
      </w:r>
      <w:r w:rsidR="0017227C" w:rsidRPr="00255861">
        <w:rPr>
          <w:rFonts w:cs="Times New Roman"/>
          <w:szCs w:val="24"/>
          <w:lang w:val="fr-CA"/>
        </w:rPr>
        <w:t xml:space="preserve"> juridique </w:t>
      </w:r>
      <w:r w:rsidR="00314299" w:rsidRPr="00255861">
        <w:rPr>
          <w:rFonts w:cs="Times New Roman"/>
          <w:szCs w:val="24"/>
          <w:lang w:val="fr-CA"/>
        </w:rPr>
        <w:t xml:space="preserve">tant </w:t>
      </w:r>
      <w:r w:rsidR="0017227C" w:rsidRPr="00255861">
        <w:rPr>
          <w:rFonts w:cs="Times New Roman"/>
          <w:szCs w:val="24"/>
          <w:lang w:val="fr-CA"/>
        </w:rPr>
        <w:t>souhaitée</w:t>
      </w:r>
      <w:r w:rsidR="00B66E19" w:rsidRPr="00255861">
        <w:rPr>
          <w:rFonts w:cs="Times New Roman"/>
          <w:szCs w:val="24"/>
          <w:lang w:val="fr-CA"/>
        </w:rPr>
        <w:t xml:space="preserve">, il faut nécessairement énoncer des principes qui comportent un certain degré de généralité. </w:t>
      </w:r>
      <w:r w:rsidR="0017227C" w:rsidRPr="00255861">
        <w:rPr>
          <w:rFonts w:cs="Times New Roman"/>
          <w:szCs w:val="24"/>
          <w:lang w:val="fr-CA"/>
        </w:rPr>
        <w:t xml:space="preserve">Vous aurez compris qu’entre l’indétermination et l’impraticabilité, la ligne </w:t>
      </w:r>
      <w:r w:rsidR="00A5132B" w:rsidRPr="00255861">
        <w:rPr>
          <w:rFonts w:cs="Times New Roman"/>
          <w:szCs w:val="24"/>
          <w:lang w:val="fr-CA"/>
        </w:rPr>
        <w:t xml:space="preserve">à tracer </w:t>
      </w:r>
      <w:r w:rsidR="0017227C" w:rsidRPr="00255861">
        <w:rPr>
          <w:rFonts w:cs="Times New Roman"/>
          <w:szCs w:val="24"/>
          <w:lang w:val="fr-CA"/>
        </w:rPr>
        <w:t xml:space="preserve">est plutôt </w:t>
      </w:r>
      <w:r w:rsidRPr="00255861">
        <w:rPr>
          <w:rFonts w:cs="Times New Roman"/>
          <w:szCs w:val="24"/>
          <w:lang w:val="fr-CA"/>
        </w:rPr>
        <w:t>mince</w:t>
      </w:r>
      <w:r w:rsidR="0017227C" w:rsidRPr="00255861">
        <w:rPr>
          <w:rFonts w:cs="Times New Roman"/>
          <w:szCs w:val="24"/>
          <w:lang w:val="fr-CA"/>
        </w:rPr>
        <w:t xml:space="preserve">. </w:t>
      </w:r>
    </w:p>
    <w:p w:rsidR="00314299" w:rsidRPr="00255861" w:rsidRDefault="00B6040E" w:rsidP="00314299">
      <w:pPr>
        <w:pStyle w:val="Titre1"/>
      </w:pPr>
      <w:r w:rsidRPr="00255861">
        <w:rPr>
          <w:lang w:val="fr-CA"/>
        </w:rPr>
        <w:t xml:space="preserve"> </w:t>
      </w:r>
      <w:r w:rsidR="00314299" w:rsidRPr="00255861">
        <w:t>Identité et perspective</w:t>
      </w:r>
    </w:p>
    <w:p w:rsidR="00314299" w:rsidRPr="00255861" w:rsidRDefault="00314299" w:rsidP="00314299">
      <w:pPr>
        <w:pStyle w:val="ParaNoNdepar-AltN"/>
        <w:tabs>
          <w:tab w:val="clear" w:pos="1152"/>
          <w:tab w:val="left" w:pos="1166"/>
        </w:tabs>
        <w:rPr>
          <w:rFonts w:cs="Times New Roman"/>
          <w:szCs w:val="24"/>
          <w:lang w:val="fr-CA"/>
        </w:rPr>
      </w:pPr>
      <w:r w:rsidRPr="00255861">
        <w:rPr>
          <w:rFonts w:cs="Times New Roman"/>
          <w:szCs w:val="24"/>
          <w:lang w:val="fr-CA"/>
        </w:rPr>
        <w:t>En plus d’être façonnée par le contexte, l’identité fait nécessairement partie de la façon dont on conçoit le monde — elle façonne notre perspective. Notre identité représente ce que nous sommes et d’où nous venons. Elle est déterminante dans la façon dont nous arrivons à comprendre le monde</w:t>
      </w:r>
      <w:bookmarkStart w:id="5" w:name="_Ref477024082"/>
      <w:r w:rsidRPr="00255861">
        <w:rPr>
          <w:rStyle w:val="Appelnotedebasdep"/>
          <w:rFonts w:cs="Times New Roman"/>
          <w:szCs w:val="24"/>
        </w:rPr>
        <w:footnoteReference w:id="22"/>
      </w:r>
      <w:bookmarkEnd w:id="5"/>
      <w:r w:rsidRPr="00255861">
        <w:rPr>
          <w:rFonts w:cs="Times New Roman"/>
          <w:szCs w:val="24"/>
          <w:lang w:val="fr-CA"/>
        </w:rPr>
        <w:t>. Ces vérités s’appliquent d’ailleurs tant aux justiciables qu’aux législateurs et aux membres de la magistrature. Dans le cadre d’une conférence qu’elle a prononcée en 1990, la juge Wilson a posé la question de savoir si la présence de femmes dans la magistrature ferait vraiment une différence</w:t>
      </w:r>
      <w:r w:rsidRPr="00255861">
        <w:rPr>
          <w:rStyle w:val="Appelnotedebasdep"/>
          <w:rFonts w:cs="Times New Roman"/>
          <w:szCs w:val="24"/>
        </w:rPr>
        <w:footnoteReference w:id="23"/>
      </w:r>
      <w:r w:rsidRPr="00255861">
        <w:rPr>
          <w:rFonts w:cs="Times New Roman"/>
          <w:szCs w:val="24"/>
          <w:lang w:val="fr-CA"/>
        </w:rPr>
        <w:t xml:space="preserve">. Nous savons maintenant que c’est clairement le cas. </w:t>
      </w:r>
    </w:p>
    <w:p w:rsidR="00314299" w:rsidRPr="00255861" w:rsidRDefault="00314299" w:rsidP="00314299">
      <w:pPr>
        <w:pStyle w:val="ParaNoNdepar-AltN"/>
        <w:tabs>
          <w:tab w:val="clear" w:pos="1152"/>
          <w:tab w:val="left" w:pos="1166"/>
        </w:tabs>
        <w:rPr>
          <w:rFonts w:cs="Times New Roman"/>
          <w:szCs w:val="24"/>
          <w:lang w:val="fr-CA"/>
        </w:rPr>
      </w:pPr>
      <w:r w:rsidRPr="00255861">
        <w:rPr>
          <w:rFonts w:cs="Times New Roman"/>
          <w:szCs w:val="24"/>
          <w:lang w:val="fr-CA"/>
        </w:rPr>
        <w:t>La question de la perspective est devenue centrale dans la jurisprudence sur l’identité peu après qu’el</w:t>
      </w:r>
      <w:r w:rsidR="00BD25CE" w:rsidRPr="00255861">
        <w:rPr>
          <w:rFonts w:cs="Times New Roman"/>
          <w:szCs w:val="24"/>
          <w:lang w:val="fr-CA"/>
        </w:rPr>
        <w:t>le et la juge L’Heureux-Dubé aient</w:t>
      </w:r>
      <w:r w:rsidRPr="00255861">
        <w:rPr>
          <w:rFonts w:cs="Times New Roman"/>
          <w:szCs w:val="24"/>
          <w:lang w:val="fr-CA"/>
        </w:rPr>
        <w:t xml:space="preserve"> été nommées et ont commencé à laisser leur empreinte sur l’institution même qui avait prononcé l’arrêt </w:t>
      </w:r>
      <w:r w:rsidRPr="00255861">
        <w:rPr>
          <w:rFonts w:cs="Times New Roman"/>
          <w:i/>
          <w:szCs w:val="24"/>
          <w:lang w:val="fr-CA"/>
        </w:rPr>
        <w:t>Edwards</w:t>
      </w:r>
      <w:r w:rsidRPr="00255861">
        <w:rPr>
          <w:rFonts w:cs="Times New Roman"/>
          <w:szCs w:val="24"/>
          <w:lang w:val="fr-CA"/>
        </w:rPr>
        <w:t xml:space="preserve">. Je n’ai aucun doute qu’elles ont dû lutter, mais ces femmes ont conduit un processus d’apprentissage institutionnel important. </w:t>
      </w:r>
      <w:r w:rsidRPr="00255861">
        <w:rPr>
          <w:rFonts w:cs="Times New Roman"/>
          <w:szCs w:val="24"/>
          <w:lang w:val="fr-CA"/>
        </w:rPr>
        <w:lastRenderedPageBreak/>
        <w:t>Au fil du temps, leurs décisions ont forcé leurs collègues à se buter à la réalité suivant laquelle ceux qui sont le plus affectés par une question juridique sont les mieux placés pour en percevoir tous les enjeux, ou sont parfois même les seuls à pouvoir le faire. Il en est ainsi pour les questions aussi profondément genrées que l’avortement et celles aussi neutres sur le plan des attributs physiques que l’imposition des « dépenses d’entreprise »</w:t>
      </w:r>
      <w:r w:rsidRPr="00255861">
        <w:rPr>
          <w:rStyle w:val="Appelnotedebasdep"/>
          <w:rFonts w:cs="Times New Roman"/>
          <w:szCs w:val="24"/>
          <w:lang w:val="fr-CA"/>
        </w:rPr>
        <w:t xml:space="preserve"> </w:t>
      </w:r>
      <w:r w:rsidRPr="00255861">
        <w:rPr>
          <w:rStyle w:val="Appelnotedebasdep"/>
          <w:rFonts w:cs="Times New Roman"/>
          <w:szCs w:val="24"/>
        </w:rPr>
        <w:footnoteReference w:id="24"/>
      </w:r>
      <w:r w:rsidRPr="00255861">
        <w:rPr>
          <w:rFonts w:cs="Times New Roman"/>
          <w:szCs w:val="24"/>
          <w:lang w:val="fr-CA"/>
        </w:rPr>
        <w:t>. Cette leçon pratique s’est manifestée dans la jurisprudence de la Cour sur l’égalité, qui reconnaît que ceux qui font l’objet de discrimination sont</w:t>
      </w:r>
      <w:r w:rsidR="00B6040E" w:rsidRPr="00255861">
        <w:rPr>
          <w:rFonts w:cs="Times New Roman"/>
          <w:szCs w:val="24"/>
          <w:lang w:val="fr-CA"/>
        </w:rPr>
        <w:t xml:space="preserve"> souvent</w:t>
      </w:r>
      <w:r w:rsidRPr="00255861">
        <w:rPr>
          <w:rFonts w:cs="Times New Roman"/>
          <w:szCs w:val="24"/>
          <w:lang w:val="fr-CA"/>
        </w:rPr>
        <w:t xml:space="preserve"> les seuls à le percevoir clairement.</w:t>
      </w:r>
    </w:p>
    <w:p w:rsidR="00314299" w:rsidRPr="00255861" w:rsidRDefault="00314299" w:rsidP="00314299">
      <w:pPr>
        <w:pStyle w:val="ParaNoNdepar-AltN"/>
        <w:tabs>
          <w:tab w:val="clear" w:pos="1152"/>
          <w:tab w:val="left" w:pos="1166"/>
        </w:tabs>
        <w:rPr>
          <w:rFonts w:cs="Times New Roman"/>
          <w:szCs w:val="24"/>
          <w:lang w:val="fr-CA"/>
        </w:rPr>
      </w:pPr>
      <w:r w:rsidRPr="00255861">
        <w:rPr>
          <w:rFonts w:cs="Times New Roman"/>
          <w:szCs w:val="24"/>
          <w:lang w:val="fr-CA"/>
        </w:rPr>
        <w:t xml:space="preserve">Selon cette jurisprudence, il faut examiner une mesure discriminatoire en tenant </w:t>
      </w:r>
      <w:r w:rsidRPr="00255861">
        <w:rPr>
          <w:rFonts w:cs="Times New Roman"/>
          <w:szCs w:val="24"/>
          <w:lang w:val="fr-FR"/>
        </w:rPr>
        <w:t xml:space="preserve">compte de la distinction du point de vue d’une personne raisonnable </w:t>
      </w:r>
      <w:r w:rsidRPr="00255861">
        <w:rPr>
          <w:rFonts w:cs="Times New Roman"/>
          <w:iCs/>
          <w:szCs w:val="24"/>
          <w:lang w:val="fr-FR"/>
        </w:rPr>
        <w:t>placée dans la situation du demandeur</w:t>
      </w:r>
      <w:bookmarkStart w:id="6" w:name="_Ref477019122"/>
      <w:r w:rsidRPr="00255861">
        <w:rPr>
          <w:rStyle w:val="Appelnotedebasdep"/>
          <w:rFonts w:cs="Times New Roman"/>
          <w:szCs w:val="24"/>
        </w:rPr>
        <w:footnoteReference w:id="25"/>
      </w:r>
      <w:bookmarkEnd w:id="6"/>
      <w:r w:rsidRPr="00255861">
        <w:rPr>
          <w:rFonts w:cs="Times New Roman"/>
          <w:iCs/>
          <w:szCs w:val="24"/>
          <w:lang w:val="fr-FR"/>
        </w:rPr>
        <w:t>. Sur le plan de l’analyse, la perspective peut faire une réelle différence. À titre d’exemple, la Cour a été divisée sur la question de la perspective dans la décision</w:t>
      </w:r>
      <w:r w:rsidRPr="00255861">
        <w:rPr>
          <w:rFonts w:cs="Times New Roman"/>
          <w:i/>
          <w:szCs w:val="24"/>
          <w:lang w:val="fr-CA"/>
        </w:rPr>
        <w:t xml:space="preserve"> Canadian Foundation for Children and Youth</w:t>
      </w:r>
      <w:r w:rsidRPr="00255861">
        <w:rPr>
          <w:rFonts w:cs="Times New Roman"/>
          <w:szCs w:val="24"/>
          <w:lang w:val="fr-CA"/>
        </w:rPr>
        <w:t xml:space="preserve"> portant sur l’art. 15. Dans cette affaire, la constitutionnalité des dispositions du </w:t>
      </w:r>
      <w:r w:rsidRPr="00255861">
        <w:rPr>
          <w:rFonts w:cs="Times New Roman"/>
          <w:i/>
          <w:szCs w:val="24"/>
          <w:lang w:val="fr-CA"/>
        </w:rPr>
        <w:t>Code criminel</w:t>
      </w:r>
      <w:r w:rsidRPr="00255861">
        <w:rPr>
          <w:rFonts w:cs="Times New Roman"/>
          <w:szCs w:val="24"/>
          <w:lang w:val="fr-CA"/>
        </w:rPr>
        <w:t xml:space="preserve"> sur le châtiment corporel était contestée</w:t>
      </w:r>
      <w:bookmarkStart w:id="7" w:name="_Ref477018789"/>
      <w:r w:rsidRPr="00255861">
        <w:rPr>
          <w:rStyle w:val="Appelnotedebasdep"/>
          <w:rFonts w:cs="Times New Roman"/>
          <w:szCs w:val="24"/>
        </w:rPr>
        <w:footnoteReference w:id="26"/>
      </w:r>
      <w:bookmarkEnd w:id="7"/>
      <w:r w:rsidRPr="00255861">
        <w:rPr>
          <w:rFonts w:cs="Times New Roman"/>
          <w:szCs w:val="24"/>
          <w:lang w:val="fr-CA"/>
        </w:rPr>
        <w:t>. La décision a été prise sur le fondement d’une approche antérieure de la discrimination en vertu de laquelle la Cour examinait l’incidence d’une loi ou d’un programme sur la « dignité humaine » du demandeur</w:t>
      </w:r>
      <w:r w:rsidRPr="00255861">
        <w:rPr>
          <w:rStyle w:val="Appelnotedebasdep"/>
          <w:rFonts w:cs="Times New Roman"/>
          <w:szCs w:val="24"/>
        </w:rPr>
        <w:footnoteReference w:id="27"/>
      </w:r>
      <w:r w:rsidRPr="00255861">
        <w:rPr>
          <w:rFonts w:cs="Times New Roman"/>
          <w:szCs w:val="24"/>
          <w:lang w:val="fr-CA"/>
        </w:rPr>
        <w:t>. Dans cette affaire, les demandeurs avaient fait valoir que priver les enfants de la même protection contre les agressions que celle offerte aux adultes envoyait le message qu’ils étaient « </w:t>
      </w:r>
      <w:r w:rsidRPr="00255861">
        <w:rPr>
          <w:rFonts w:cs="Times New Roman"/>
          <w:szCs w:val="24"/>
          <w:lang w:val="fr-FR"/>
        </w:rPr>
        <w:t>moins capables, ou moins dignes d’être reconnus ou valorisés en tant qu’êtres humains</w:t>
      </w:r>
      <w:r w:rsidRPr="00255861">
        <w:rPr>
          <w:rFonts w:cs="Times New Roman"/>
          <w:szCs w:val="24"/>
          <w:lang w:val="fr-CA"/>
        </w:rPr>
        <w:t> »</w:t>
      </w:r>
      <w:r w:rsidRPr="00255861">
        <w:rPr>
          <w:rStyle w:val="Appelnotedebasdep"/>
          <w:rFonts w:cs="Times New Roman"/>
          <w:szCs w:val="24"/>
          <w:lang w:val="fr-CA"/>
        </w:rPr>
        <w:t xml:space="preserve"> </w:t>
      </w:r>
      <w:r w:rsidRPr="00255861">
        <w:rPr>
          <w:rStyle w:val="Appelnotedebasdep"/>
          <w:rFonts w:cs="Times New Roman"/>
          <w:szCs w:val="24"/>
        </w:rPr>
        <w:footnoteReference w:id="28"/>
      </w:r>
      <w:r w:rsidRPr="00255861">
        <w:rPr>
          <w:rFonts w:cs="Times New Roman"/>
          <w:szCs w:val="24"/>
          <w:lang w:val="fr-CA"/>
        </w:rPr>
        <w:t xml:space="preserve">. Les juges </w:t>
      </w:r>
      <w:r w:rsidRPr="00255861">
        <w:rPr>
          <w:rFonts w:cs="Times New Roman"/>
          <w:szCs w:val="24"/>
          <w:lang w:val="fr-CA"/>
        </w:rPr>
        <w:lastRenderedPageBreak/>
        <w:t xml:space="preserve">majoritaires ont choisi de ne pas examiner l’atteinte à la dignité humaine du point de vue de l’enfant, mais de plutôt le faire de la perspective de la personne qui agit </w:t>
      </w:r>
      <w:r w:rsidRPr="00255861">
        <w:rPr>
          <w:rFonts w:cs="Times New Roman"/>
          <w:i/>
          <w:szCs w:val="24"/>
          <w:lang w:val="fr-CA"/>
        </w:rPr>
        <w:t>au nom de</w:t>
      </w:r>
      <w:r w:rsidRPr="00255861">
        <w:rPr>
          <w:rFonts w:cs="Times New Roman"/>
          <w:szCs w:val="24"/>
          <w:lang w:val="fr-CA"/>
        </w:rPr>
        <w:t xml:space="preserve"> l’enfant</w:t>
      </w:r>
      <w:r w:rsidRPr="00255861">
        <w:rPr>
          <w:rStyle w:val="Appelnotedebasdep"/>
          <w:rFonts w:cs="Times New Roman"/>
          <w:szCs w:val="24"/>
        </w:rPr>
        <w:footnoteReference w:id="29"/>
      </w:r>
      <w:r w:rsidRPr="00255861">
        <w:rPr>
          <w:rFonts w:cs="Times New Roman"/>
          <w:szCs w:val="24"/>
          <w:lang w:val="fr-CA"/>
        </w:rPr>
        <w:t>. Comme le juge Binnie l’a souligné dans sa dissidence, il se pourrait qu’un tel changement de perspective donne plus de difficultés à discerner l’atteinte réelle à la dignité d’un enfant</w:t>
      </w:r>
      <w:r w:rsidRPr="00255861">
        <w:rPr>
          <w:rStyle w:val="Appelnotedebasdep"/>
          <w:rFonts w:cs="Times New Roman"/>
          <w:szCs w:val="24"/>
        </w:rPr>
        <w:footnoteReference w:id="30"/>
      </w:r>
      <w:r w:rsidRPr="00255861">
        <w:rPr>
          <w:rFonts w:cs="Times New Roman"/>
          <w:szCs w:val="24"/>
          <w:lang w:val="fr-CA"/>
        </w:rPr>
        <w:t>.</w:t>
      </w:r>
    </w:p>
    <w:p w:rsidR="00314299" w:rsidRPr="00255861" w:rsidRDefault="00314299" w:rsidP="00314299">
      <w:pPr>
        <w:pStyle w:val="ParaNoNdepar-AltN"/>
        <w:tabs>
          <w:tab w:val="clear" w:pos="1152"/>
          <w:tab w:val="left" w:pos="1166"/>
        </w:tabs>
        <w:rPr>
          <w:rFonts w:cs="Times New Roman"/>
          <w:szCs w:val="24"/>
          <w:lang w:val="fr-CA"/>
        </w:rPr>
      </w:pPr>
      <w:r w:rsidRPr="00255861">
        <w:rPr>
          <w:rFonts w:cs="Times New Roman"/>
          <w:szCs w:val="24"/>
          <w:lang w:val="fr-CA"/>
        </w:rPr>
        <w:t>Même si la dignité humaine ne fait plus partie du test pour juger de la violation de l’art. 15</w:t>
      </w:r>
      <w:r w:rsidRPr="00255861">
        <w:rPr>
          <w:rStyle w:val="Appelnotedebasdep"/>
          <w:rFonts w:cs="Times New Roman"/>
          <w:szCs w:val="24"/>
        </w:rPr>
        <w:footnoteReference w:id="31"/>
      </w:r>
      <w:r w:rsidRPr="00255861">
        <w:rPr>
          <w:rFonts w:cs="Times New Roman"/>
          <w:szCs w:val="24"/>
          <w:lang w:val="fr-CA"/>
        </w:rPr>
        <w:t xml:space="preserve">, la perspective, elle, joue encore un rôle important. Elle aide à discerner les formes moins visibles d’atteinte à l’identité, y compris celles qui visent </w:t>
      </w:r>
      <w:r w:rsidRPr="00255861">
        <w:rPr>
          <w:rFonts w:cs="Times New Roman"/>
          <w:szCs w:val="24"/>
          <w:lang w:val="fr-FR"/>
        </w:rPr>
        <w:t>l’autodétermination ainsi que l’estime et le respect de soi de même que la confiance en soi</w:t>
      </w:r>
      <w:r w:rsidRPr="00255861">
        <w:rPr>
          <w:rStyle w:val="Appelnotedebasdep"/>
          <w:rFonts w:cs="Times New Roman"/>
          <w:szCs w:val="24"/>
        </w:rPr>
        <w:footnoteReference w:id="32"/>
      </w:r>
      <w:r w:rsidRPr="00255861">
        <w:rPr>
          <w:rFonts w:cs="Times New Roman"/>
          <w:szCs w:val="24"/>
          <w:lang w:val="fr-FR"/>
        </w:rPr>
        <w:t xml:space="preserve">. Dans bien des cas, </w:t>
      </w:r>
      <w:r w:rsidRPr="00255861">
        <w:rPr>
          <w:rFonts w:cs="Times New Roman"/>
          <w:i/>
          <w:szCs w:val="24"/>
          <w:lang w:val="fr-FR"/>
        </w:rPr>
        <w:t xml:space="preserve">à défaut </w:t>
      </w:r>
      <w:r w:rsidRPr="00255861">
        <w:rPr>
          <w:rFonts w:cs="Times New Roman"/>
          <w:szCs w:val="24"/>
          <w:lang w:val="fr-FR"/>
        </w:rPr>
        <w:t>d’adopter la perspective du demandeur, l’atteinte serait difficile, voire impossible, à discerner clairement.</w:t>
      </w:r>
    </w:p>
    <w:p w:rsidR="00A8320E" w:rsidRPr="00255861" w:rsidRDefault="00314299" w:rsidP="00314299">
      <w:pPr>
        <w:pStyle w:val="ParaNoNdepar-AltN"/>
        <w:rPr>
          <w:rFonts w:cs="Times New Roman"/>
          <w:szCs w:val="24"/>
          <w:lang w:val="fr-CA"/>
        </w:rPr>
      </w:pPr>
      <w:r w:rsidRPr="00255861">
        <w:rPr>
          <w:rFonts w:cs="Times New Roman"/>
          <w:szCs w:val="24"/>
          <w:lang w:val="fr-CA"/>
        </w:rPr>
        <w:t xml:space="preserve">Il peut être difficile de réfléchir en adoptant une perspective autre que la sienne, et ce n’est pas exclusivement en analysant une demande fondée sur l’art. 15 qu’il faut le faire. Il n’en demeure pas moins que tous les juges doivent s’acquitter de cette obligation, même lorsque la jurisprudence ne l’exige pas explicitement. Le rôle de la perspective est sans doute plus pertinent dans le contexte du droit autochtone. En effet, il est très délicat de transposer les traditions juridiques autochtones et non autochtones. Cela suppose que, pour résoudre un problème, il faille parfois exprimer en termes familiers des réalités qui ne le sont pas. Le dialogue entre les traditions juridiques entraîne toujours un risque d’y perdre au change. On doit toutefois se contenter de gérer </w:t>
      </w:r>
      <w:r w:rsidRPr="00255861">
        <w:rPr>
          <w:rFonts w:cs="Times New Roman"/>
          <w:szCs w:val="24"/>
          <w:lang w:val="fr-CA"/>
        </w:rPr>
        <w:lastRenderedPageBreak/>
        <w:t>ce risque qui ne peut être évité. Le défi est de même nature lorsqu’il est question des systèmes de droit civil et de common law</w:t>
      </w:r>
      <w:r w:rsidRPr="00255861">
        <w:rPr>
          <w:rStyle w:val="Appelnotedebasdep"/>
          <w:rFonts w:cs="Times New Roman"/>
          <w:szCs w:val="24"/>
        </w:rPr>
        <w:footnoteReference w:id="33"/>
      </w:r>
      <w:r w:rsidRPr="00255861">
        <w:rPr>
          <w:rFonts w:cs="Times New Roman"/>
          <w:szCs w:val="24"/>
          <w:lang w:val="fr-CA"/>
        </w:rPr>
        <w:t xml:space="preserve">. Cela dit, même en ayant eu à en faire l’exercice à maintes reprises, il reste plus facile de parler de </w:t>
      </w:r>
      <w:r w:rsidR="00064B05" w:rsidRPr="00255861">
        <w:rPr>
          <w:rFonts w:cs="Times New Roman"/>
          <w:szCs w:val="24"/>
          <w:lang w:val="fr-CA"/>
        </w:rPr>
        <w:t xml:space="preserve">la possibilité </w:t>
      </w:r>
      <w:r w:rsidR="00FA5327" w:rsidRPr="00255861">
        <w:rPr>
          <w:rFonts w:cs="Times New Roman"/>
          <w:szCs w:val="24"/>
          <w:lang w:val="fr-CA"/>
        </w:rPr>
        <w:t xml:space="preserve">de </w:t>
      </w:r>
      <w:r w:rsidRPr="00255861">
        <w:rPr>
          <w:rFonts w:cs="Times New Roman"/>
          <w:szCs w:val="24"/>
          <w:lang w:val="fr-CA"/>
        </w:rPr>
        <w:t xml:space="preserve">se mettre dans la peau d’un autre individu partie à une cause fondée sur la </w:t>
      </w:r>
      <w:r w:rsidRPr="00255861">
        <w:rPr>
          <w:rFonts w:cs="Times New Roman"/>
          <w:i/>
          <w:szCs w:val="24"/>
          <w:lang w:val="fr-CA"/>
        </w:rPr>
        <w:t>Charte</w:t>
      </w:r>
      <w:r w:rsidRPr="00255861">
        <w:rPr>
          <w:rFonts w:cs="Times New Roman"/>
          <w:szCs w:val="24"/>
          <w:lang w:val="fr-CA"/>
        </w:rPr>
        <w:t xml:space="preserve"> que de le faire</w:t>
      </w:r>
      <w:r w:rsidR="00064B05" w:rsidRPr="00255861">
        <w:rPr>
          <w:rFonts w:cs="Times New Roman"/>
          <w:szCs w:val="24"/>
          <w:lang w:val="fr-CA"/>
        </w:rPr>
        <w:t xml:space="preserve"> en pratique</w:t>
      </w:r>
      <w:r w:rsidRPr="00255861">
        <w:rPr>
          <w:rFonts w:cs="Times New Roman"/>
          <w:szCs w:val="24"/>
          <w:lang w:val="fr-CA"/>
        </w:rPr>
        <w:t>. C’est le cas, précisément parce que les perspectives se forgent à partir d’une myriade d’expériences uniques. Dans le contexte de l’égalité, il n’est pas facile pour les juges d’examiner les pratiques discriminatoires d’une perspective qui bien souvent, avouons-le, ne correspond pas à la leur</w:t>
      </w:r>
      <w:bookmarkStart w:id="8" w:name="_Ref477078828"/>
      <w:r w:rsidRPr="00255861">
        <w:rPr>
          <w:rStyle w:val="Appelnotedebasdep"/>
          <w:rFonts w:cs="Times New Roman"/>
          <w:szCs w:val="24"/>
        </w:rPr>
        <w:footnoteReference w:id="34"/>
      </w:r>
      <w:bookmarkEnd w:id="8"/>
      <w:r w:rsidRPr="00255861">
        <w:rPr>
          <w:rFonts w:cs="Times New Roman"/>
          <w:szCs w:val="24"/>
          <w:lang w:val="fr-CA"/>
        </w:rPr>
        <w:t>. Il n’en demeure pas moins que notre jurisprudence insiste à juste titre sur ce principe</w:t>
      </w:r>
      <w:r w:rsidR="00735E62" w:rsidRPr="00255861">
        <w:rPr>
          <w:rFonts w:cs="Times New Roman"/>
          <w:szCs w:val="24"/>
          <w:lang w:val="fr-FR"/>
        </w:rPr>
        <w:t>.</w:t>
      </w:r>
    </w:p>
    <w:p w:rsidR="00891378" w:rsidRPr="00255861" w:rsidRDefault="00891378" w:rsidP="00314299">
      <w:pPr>
        <w:pStyle w:val="ParaNoNdepar-AltN"/>
        <w:rPr>
          <w:rFonts w:cs="Times New Roman"/>
          <w:szCs w:val="24"/>
          <w:lang w:val="fr-CA"/>
        </w:rPr>
      </w:pPr>
      <w:r w:rsidRPr="00255861">
        <w:rPr>
          <w:rFonts w:cs="Times New Roman"/>
          <w:szCs w:val="24"/>
          <w:lang w:val="fr-FR"/>
        </w:rPr>
        <w:t>Cela m’amène à vous parler de mon troisième et dernier point : soi</w:t>
      </w:r>
      <w:r w:rsidR="00BD25CE" w:rsidRPr="00255861">
        <w:rPr>
          <w:rFonts w:cs="Times New Roman"/>
          <w:szCs w:val="24"/>
          <w:lang w:val="fr-FR"/>
        </w:rPr>
        <w:t>t</w:t>
      </w:r>
      <w:r w:rsidRPr="00255861">
        <w:rPr>
          <w:rFonts w:cs="Times New Roman"/>
          <w:szCs w:val="24"/>
          <w:lang w:val="fr-FR"/>
        </w:rPr>
        <w:t xml:space="preserve"> du trio indivisible : identité, égalité et démocratie.</w:t>
      </w:r>
    </w:p>
    <w:p w:rsidR="00B66E19" w:rsidRPr="00255861" w:rsidRDefault="00A8320E" w:rsidP="00B66E19">
      <w:pPr>
        <w:pStyle w:val="Titre1"/>
        <w:rPr>
          <w:lang w:val="fr-CA"/>
        </w:rPr>
      </w:pPr>
      <w:r w:rsidRPr="00255861">
        <w:rPr>
          <w:lang w:val="fr-CA"/>
        </w:rPr>
        <w:t>Le trio indivisible : identité, égalité et démocratie</w:t>
      </w:r>
    </w:p>
    <w:p w:rsidR="00EA27D4" w:rsidRPr="00255861" w:rsidRDefault="007B64B7" w:rsidP="00B66E19">
      <w:pPr>
        <w:pStyle w:val="ParaNoNdepar-AltN"/>
        <w:rPr>
          <w:rFonts w:cs="Times New Roman"/>
          <w:szCs w:val="24"/>
          <w:lang w:val="fr-CA"/>
        </w:rPr>
      </w:pPr>
      <w:r w:rsidRPr="00255861">
        <w:rPr>
          <w:rFonts w:cs="Times New Roman"/>
          <w:szCs w:val="24"/>
          <w:lang w:val="fr-CA"/>
        </w:rPr>
        <w:t xml:space="preserve">Alexis de Tocqueville </w:t>
      </w:r>
      <w:r w:rsidR="00EA27D4" w:rsidRPr="00255861">
        <w:rPr>
          <w:rFonts w:cs="Times New Roman"/>
          <w:szCs w:val="24"/>
          <w:lang w:val="fr-CA"/>
        </w:rPr>
        <w:t>é</w:t>
      </w:r>
      <w:r w:rsidRPr="00255861">
        <w:rPr>
          <w:rFonts w:cs="Times New Roman"/>
          <w:szCs w:val="24"/>
          <w:lang w:val="fr-CA"/>
        </w:rPr>
        <w:t>cr</w:t>
      </w:r>
      <w:r w:rsidR="00C208B1" w:rsidRPr="00255861">
        <w:rPr>
          <w:rFonts w:cs="Times New Roman"/>
          <w:szCs w:val="24"/>
          <w:lang w:val="fr-CA"/>
        </w:rPr>
        <w:t>i</w:t>
      </w:r>
      <w:r w:rsidR="00EA27D4" w:rsidRPr="00255861">
        <w:rPr>
          <w:rFonts w:cs="Times New Roman"/>
          <w:szCs w:val="24"/>
          <w:lang w:val="fr-CA"/>
        </w:rPr>
        <w:t>vait au XIX</w:t>
      </w:r>
      <w:r w:rsidR="00EA27D4" w:rsidRPr="00255861">
        <w:rPr>
          <w:rFonts w:cs="Times New Roman"/>
          <w:szCs w:val="24"/>
          <w:vertAlign w:val="superscript"/>
          <w:lang w:val="fr-CA"/>
        </w:rPr>
        <w:t>e</w:t>
      </w:r>
      <w:r w:rsidR="00EA27D4" w:rsidRPr="00255861">
        <w:rPr>
          <w:rFonts w:cs="Times New Roman"/>
          <w:szCs w:val="24"/>
          <w:lang w:val="fr-CA"/>
        </w:rPr>
        <w:t xml:space="preserve"> siècle</w:t>
      </w:r>
      <w:r w:rsidRPr="00255861">
        <w:rPr>
          <w:rFonts w:cs="Times New Roman"/>
          <w:szCs w:val="24"/>
          <w:lang w:val="fr-CA"/>
        </w:rPr>
        <w:t xml:space="preserve"> que </w:t>
      </w:r>
      <w:r w:rsidR="00C208B1" w:rsidRPr="00255861">
        <w:rPr>
          <w:rFonts w:cs="Times New Roman"/>
          <w:szCs w:val="24"/>
          <w:lang w:val="fr-CA"/>
        </w:rPr>
        <w:t>« [d]</w:t>
      </w:r>
      <w:r w:rsidRPr="00255861">
        <w:rPr>
          <w:rFonts w:cs="Times New Roman"/>
          <w:szCs w:val="24"/>
          <w:lang w:val="fr-CA"/>
        </w:rPr>
        <w:t>ans les démocraties, chaque génération est un peuple nouveau</w:t>
      </w:r>
      <w:r w:rsidR="00C208B1" w:rsidRPr="00255861">
        <w:rPr>
          <w:rFonts w:cs="Times New Roman"/>
          <w:szCs w:val="24"/>
          <w:lang w:val="fr-CA"/>
        </w:rPr>
        <w:t> ».</w:t>
      </w:r>
      <w:r w:rsidR="00EA27D4" w:rsidRPr="00255861">
        <w:rPr>
          <w:rFonts w:cs="Times New Roman"/>
          <w:szCs w:val="24"/>
          <w:lang w:val="fr-CA"/>
        </w:rPr>
        <w:t xml:space="preserve"> Beaucoup d’eau a coulé sous les ponts depuis. </w:t>
      </w:r>
      <w:r w:rsidR="00BD25CE" w:rsidRPr="00255861">
        <w:rPr>
          <w:rFonts w:cs="Times New Roman"/>
          <w:szCs w:val="24"/>
          <w:lang w:val="fr-CA"/>
        </w:rPr>
        <w:t>Mais u</w:t>
      </w:r>
      <w:r w:rsidR="00EA27D4" w:rsidRPr="00255861">
        <w:rPr>
          <w:rFonts w:cs="Times New Roman"/>
          <w:szCs w:val="24"/>
          <w:lang w:val="fr-CA"/>
        </w:rPr>
        <w:t>ne chose demeure</w:t>
      </w:r>
      <w:r w:rsidR="00BD25CE" w:rsidRPr="00255861">
        <w:rPr>
          <w:rFonts w:cs="Times New Roman"/>
          <w:szCs w:val="24"/>
          <w:lang w:val="fr-CA"/>
        </w:rPr>
        <w:t xml:space="preserve"> cependant</w:t>
      </w:r>
      <w:r w:rsidR="00EA27D4" w:rsidRPr="00255861">
        <w:rPr>
          <w:rFonts w:cs="Times New Roman"/>
          <w:szCs w:val="24"/>
          <w:lang w:val="fr-CA"/>
        </w:rPr>
        <w:t xml:space="preserve">. </w:t>
      </w:r>
      <w:r w:rsidR="00B4059C" w:rsidRPr="00255861">
        <w:rPr>
          <w:rFonts w:cs="Times New Roman"/>
          <w:szCs w:val="24"/>
          <w:lang w:val="fr-CA"/>
        </w:rPr>
        <w:t xml:space="preserve">La qualité d’une démocratie est tributaire de sa capacité à s’adapter. À s’adapter </w:t>
      </w:r>
      <w:r w:rsidR="00B066BD" w:rsidRPr="00255861">
        <w:rPr>
          <w:rFonts w:cs="Times New Roman"/>
          <w:szCs w:val="24"/>
          <w:lang w:val="fr-CA"/>
        </w:rPr>
        <w:t>à la succession</w:t>
      </w:r>
      <w:r w:rsidR="00B4059C" w:rsidRPr="00255861">
        <w:rPr>
          <w:rFonts w:cs="Times New Roman"/>
          <w:szCs w:val="24"/>
          <w:lang w:val="fr-CA"/>
        </w:rPr>
        <w:t xml:space="preserve"> des générations</w:t>
      </w:r>
      <w:r w:rsidR="003126B3" w:rsidRPr="00255861">
        <w:rPr>
          <w:rFonts w:cs="Times New Roman"/>
          <w:szCs w:val="24"/>
          <w:lang w:val="fr-CA"/>
        </w:rPr>
        <w:t>,</w:t>
      </w:r>
      <w:r w:rsidR="00B4059C" w:rsidRPr="00255861">
        <w:rPr>
          <w:rFonts w:cs="Times New Roman"/>
          <w:szCs w:val="24"/>
          <w:lang w:val="fr-CA"/>
        </w:rPr>
        <w:t xml:space="preserve"> comme à l’arrivée de</w:t>
      </w:r>
      <w:r w:rsidR="00891378" w:rsidRPr="00255861">
        <w:rPr>
          <w:rFonts w:cs="Times New Roman"/>
          <w:szCs w:val="24"/>
          <w:lang w:val="fr-CA"/>
        </w:rPr>
        <w:t>s</w:t>
      </w:r>
      <w:r w:rsidR="00B4059C" w:rsidRPr="00255861">
        <w:rPr>
          <w:rFonts w:cs="Times New Roman"/>
          <w:szCs w:val="24"/>
          <w:lang w:val="fr-CA"/>
        </w:rPr>
        <w:t xml:space="preserve"> nouveaux visages</w:t>
      </w:r>
      <w:r w:rsidR="00891378" w:rsidRPr="00255861">
        <w:rPr>
          <w:rFonts w:cs="Times New Roman"/>
          <w:szCs w:val="24"/>
          <w:lang w:val="fr-CA"/>
        </w:rPr>
        <w:t xml:space="preserve"> et selon moi,</w:t>
      </w:r>
      <w:r w:rsidR="00B4059C" w:rsidRPr="00255861">
        <w:rPr>
          <w:rFonts w:cs="Times New Roman"/>
          <w:szCs w:val="24"/>
          <w:lang w:val="fr-CA"/>
        </w:rPr>
        <w:t xml:space="preserve"> </w:t>
      </w:r>
      <w:r w:rsidR="00891378" w:rsidRPr="00255861">
        <w:rPr>
          <w:rFonts w:cs="Times New Roman"/>
          <w:szCs w:val="24"/>
          <w:lang w:val="fr-CA"/>
        </w:rPr>
        <w:t>l</w:t>
      </w:r>
      <w:r w:rsidR="00B4059C" w:rsidRPr="00255861">
        <w:rPr>
          <w:rFonts w:cs="Times New Roman"/>
          <w:szCs w:val="24"/>
          <w:lang w:val="fr-CA"/>
        </w:rPr>
        <w:t>a démocratie</w:t>
      </w:r>
      <w:r w:rsidR="003126B3" w:rsidRPr="00255861">
        <w:rPr>
          <w:rFonts w:cs="Times New Roman"/>
          <w:szCs w:val="24"/>
          <w:lang w:val="fr-CA"/>
        </w:rPr>
        <w:t xml:space="preserve">, pour s’épanouir, </w:t>
      </w:r>
      <w:r w:rsidR="00B4059C" w:rsidRPr="00255861">
        <w:rPr>
          <w:rFonts w:cs="Times New Roman"/>
          <w:szCs w:val="24"/>
          <w:lang w:val="fr-CA"/>
        </w:rPr>
        <w:t xml:space="preserve">ne </w:t>
      </w:r>
      <w:r w:rsidR="00891378" w:rsidRPr="00255861">
        <w:rPr>
          <w:rFonts w:cs="Times New Roman"/>
          <w:szCs w:val="24"/>
          <w:lang w:val="fr-CA"/>
        </w:rPr>
        <w:t xml:space="preserve">peut </w:t>
      </w:r>
      <w:r w:rsidR="00B4059C" w:rsidRPr="00255861">
        <w:rPr>
          <w:rFonts w:cs="Times New Roman"/>
          <w:szCs w:val="24"/>
          <w:lang w:val="fr-CA"/>
        </w:rPr>
        <w:t>faire fi d</w:t>
      </w:r>
      <w:r w:rsidR="00EA27D4" w:rsidRPr="00255861">
        <w:rPr>
          <w:rFonts w:cs="Times New Roman"/>
          <w:szCs w:val="24"/>
          <w:lang w:val="fr-CA"/>
        </w:rPr>
        <w:t xml:space="preserve">es questions d’identité. Je m’explique. </w:t>
      </w:r>
    </w:p>
    <w:p w:rsidR="00CE2914" w:rsidRPr="00255861" w:rsidRDefault="00EA27D4" w:rsidP="00CE2914">
      <w:pPr>
        <w:pStyle w:val="ParaNoNdepar-AltN"/>
        <w:rPr>
          <w:rFonts w:cs="Times New Roman"/>
          <w:szCs w:val="24"/>
          <w:lang w:val="fr-CA"/>
        </w:rPr>
      </w:pPr>
      <w:r w:rsidRPr="00255861">
        <w:rPr>
          <w:rFonts w:cs="Times New Roman"/>
          <w:szCs w:val="24"/>
          <w:lang w:val="fr-CA"/>
        </w:rPr>
        <w:lastRenderedPageBreak/>
        <w:t xml:space="preserve">Afin </w:t>
      </w:r>
      <w:r w:rsidR="00DB4F42" w:rsidRPr="00255861">
        <w:rPr>
          <w:rFonts w:cs="Times New Roman"/>
          <w:szCs w:val="24"/>
          <w:lang w:val="fr-CA"/>
        </w:rPr>
        <w:t>de jouer pleinement leur rôle</w:t>
      </w:r>
      <w:r w:rsidR="00B4059C" w:rsidRPr="00255861">
        <w:rPr>
          <w:rFonts w:cs="Times New Roman"/>
          <w:szCs w:val="24"/>
          <w:lang w:val="fr-CA"/>
        </w:rPr>
        <w:t xml:space="preserve"> démocratique</w:t>
      </w:r>
      <w:r w:rsidR="00DB4F42" w:rsidRPr="00255861">
        <w:rPr>
          <w:rFonts w:cs="Times New Roman"/>
          <w:szCs w:val="24"/>
          <w:lang w:val="fr-CA"/>
        </w:rPr>
        <w:t xml:space="preserve">, </w:t>
      </w:r>
      <w:r w:rsidR="00B4059C" w:rsidRPr="00255861">
        <w:rPr>
          <w:rFonts w:cs="Times New Roman"/>
          <w:szCs w:val="24"/>
          <w:lang w:val="fr-CA"/>
        </w:rPr>
        <w:t xml:space="preserve">nos institutions </w:t>
      </w:r>
      <w:r w:rsidR="00DB4F42" w:rsidRPr="00255861">
        <w:rPr>
          <w:rFonts w:cs="Times New Roman"/>
          <w:szCs w:val="24"/>
          <w:lang w:val="fr-CA"/>
        </w:rPr>
        <w:t xml:space="preserve">doivent </w:t>
      </w:r>
      <w:r w:rsidR="008E4739" w:rsidRPr="00255861">
        <w:rPr>
          <w:rFonts w:cs="Times New Roman"/>
          <w:szCs w:val="24"/>
          <w:lang w:val="fr-CA"/>
        </w:rPr>
        <w:t xml:space="preserve">tendre vers </w:t>
      </w:r>
      <w:r w:rsidRPr="00255861">
        <w:rPr>
          <w:rFonts w:cs="Times New Roman"/>
          <w:szCs w:val="24"/>
          <w:lang w:val="fr-CA"/>
        </w:rPr>
        <w:t>l’égalité des citoyens</w:t>
      </w:r>
      <w:r w:rsidR="00DB4F42" w:rsidRPr="00255861">
        <w:rPr>
          <w:rFonts w:cs="Times New Roman"/>
          <w:szCs w:val="24"/>
          <w:lang w:val="fr-CA"/>
        </w:rPr>
        <w:t xml:space="preserve"> dans et devant la loi</w:t>
      </w:r>
      <w:r w:rsidRPr="00255861">
        <w:rPr>
          <w:rFonts w:cs="Times New Roman"/>
          <w:szCs w:val="24"/>
          <w:lang w:val="fr-CA"/>
        </w:rPr>
        <w:t>.</w:t>
      </w:r>
      <w:r w:rsidR="00B4059C" w:rsidRPr="00255861">
        <w:rPr>
          <w:rFonts w:cs="Times New Roman"/>
          <w:szCs w:val="24"/>
          <w:lang w:val="fr-CA"/>
        </w:rPr>
        <w:t xml:space="preserve"> </w:t>
      </w:r>
      <w:r w:rsidR="003126B3" w:rsidRPr="00255861">
        <w:rPr>
          <w:rFonts w:cs="Times New Roman"/>
          <w:szCs w:val="24"/>
          <w:lang w:val="fr-CA"/>
        </w:rPr>
        <w:t>D’une certaine façon, l</w:t>
      </w:r>
      <w:r w:rsidR="00B4059C" w:rsidRPr="00255861">
        <w:rPr>
          <w:rFonts w:cs="Times New Roman"/>
          <w:szCs w:val="24"/>
          <w:lang w:val="fr-CA"/>
        </w:rPr>
        <w:t>a démocratie</w:t>
      </w:r>
      <w:r w:rsidR="00DB4F42" w:rsidRPr="00255861">
        <w:rPr>
          <w:rFonts w:cs="Times New Roman"/>
          <w:szCs w:val="24"/>
          <w:lang w:val="fr-CA"/>
        </w:rPr>
        <w:t xml:space="preserve"> consiste en l’institutionnalisation</w:t>
      </w:r>
      <w:r w:rsidR="00F55AC3" w:rsidRPr="00255861">
        <w:rPr>
          <w:rFonts w:cs="Times New Roman"/>
          <w:szCs w:val="24"/>
          <w:lang w:val="fr-CA"/>
        </w:rPr>
        <w:t xml:space="preserve"> </w:t>
      </w:r>
      <w:r w:rsidR="00DB4F42" w:rsidRPr="00255861">
        <w:rPr>
          <w:rFonts w:cs="Times New Roman"/>
          <w:szCs w:val="24"/>
          <w:lang w:val="fr-CA"/>
        </w:rPr>
        <w:t>de</w:t>
      </w:r>
      <w:r w:rsidR="00F55AC3" w:rsidRPr="00255861">
        <w:rPr>
          <w:rFonts w:cs="Times New Roman"/>
          <w:szCs w:val="24"/>
          <w:lang w:val="fr-CA"/>
        </w:rPr>
        <w:t xml:space="preserve"> l’idée d</w:t>
      </w:r>
      <w:r w:rsidR="00DB4F42" w:rsidRPr="00255861">
        <w:rPr>
          <w:rFonts w:cs="Times New Roman"/>
          <w:szCs w:val="24"/>
          <w:lang w:val="fr-CA"/>
        </w:rPr>
        <w:t>’</w:t>
      </w:r>
      <w:r w:rsidR="00F55AC3" w:rsidRPr="00255861">
        <w:rPr>
          <w:rFonts w:cs="Times New Roman"/>
          <w:szCs w:val="24"/>
          <w:lang w:val="fr-CA"/>
        </w:rPr>
        <w:t xml:space="preserve">égalité. </w:t>
      </w:r>
      <w:r w:rsidR="00B4059C" w:rsidRPr="00255861">
        <w:rPr>
          <w:rFonts w:cs="Times New Roman"/>
          <w:szCs w:val="24"/>
          <w:lang w:val="fr-CA"/>
        </w:rPr>
        <w:t>Or, c</w:t>
      </w:r>
      <w:r w:rsidR="00DB4F42" w:rsidRPr="00255861">
        <w:rPr>
          <w:rFonts w:cs="Times New Roman"/>
          <w:szCs w:val="24"/>
          <w:lang w:val="fr-CA"/>
        </w:rPr>
        <w:t>ette égalité n</w:t>
      </w:r>
      <w:r w:rsidR="00B4059C" w:rsidRPr="00255861">
        <w:rPr>
          <w:rFonts w:cs="Times New Roman"/>
          <w:szCs w:val="24"/>
          <w:lang w:val="fr-CA"/>
        </w:rPr>
        <w:t xml:space="preserve">e </w:t>
      </w:r>
      <w:r w:rsidR="006E71B5" w:rsidRPr="00255861">
        <w:rPr>
          <w:rFonts w:cs="Times New Roman"/>
          <w:szCs w:val="24"/>
          <w:lang w:val="fr-CA"/>
        </w:rPr>
        <w:t xml:space="preserve">veut pas </w:t>
      </w:r>
      <w:r w:rsidR="008E4739" w:rsidRPr="00255861">
        <w:rPr>
          <w:rFonts w:cs="Times New Roman"/>
          <w:szCs w:val="24"/>
          <w:lang w:val="fr-CA"/>
        </w:rPr>
        <w:t xml:space="preserve">seulement </w:t>
      </w:r>
      <w:r w:rsidR="006E71B5" w:rsidRPr="00255861">
        <w:rPr>
          <w:rFonts w:cs="Times New Roman"/>
          <w:szCs w:val="24"/>
          <w:lang w:val="fr-CA"/>
        </w:rPr>
        <w:t xml:space="preserve">dire que tous </w:t>
      </w:r>
      <w:r w:rsidR="003126B3" w:rsidRPr="00255861">
        <w:rPr>
          <w:rFonts w:cs="Times New Roman"/>
          <w:szCs w:val="24"/>
          <w:lang w:val="fr-CA"/>
        </w:rPr>
        <w:t>jouissent également du droit de</w:t>
      </w:r>
      <w:r w:rsidR="006E71B5" w:rsidRPr="00255861">
        <w:rPr>
          <w:rFonts w:cs="Times New Roman"/>
          <w:szCs w:val="24"/>
          <w:lang w:val="fr-CA"/>
        </w:rPr>
        <w:t xml:space="preserve"> déposer leur bulletin de vote dans </w:t>
      </w:r>
      <w:r w:rsidR="003126B3" w:rsidRPr="00255861">
        <w:rPr>
          <w:rFonts w:cs="Times New Roman"/>
          <w:szCs w:val="24"/>
          <w:lang w:val="fr-CA"/>
        </w:rPr>
        <w:t>une</w:t>
      </w:r>
      <w:r w:rsidR="006E71B5" w:rsidRPr="00255861">
        <w:rPr>
          <w:rFonts w:cs="Times New Roman"/>
          <w:szCs w:val="24"/>
          <w:lang w:val="fr-CA"/>
        </w:rPr>
        <w:t xml:space="preserve"> boîte de scrutin. Encore faut-il que les citoyens soient réellement égaux dans leur capacité à prendre part au débat public, à exprimer leur désaccord et à </w:t>
      </w:r>
      <w:r w:rsidR="003126B3" w:rsidRPr="00255861">
        <w:rPr>
          <w:rFonts w:cs="Times New Roman"/>
          <w:szCs w:val="24"/>
          <w:lang w:val="fr-CA"/>
        </w:rPr>
        <w:t xml:space="preserve">trancher </w:t>
      </w:r>
      <w:r w:rsidR="006E71B5" w:rsidRPr="00255861">
        <w:rPr>
          <w:rFonts w:cs="Times New Roman"/>
          <w:szCs w:val="24"/>
          <w:lang w:val="fr-CA"/>
        </w:rPr>
        <w:t>en leur âme et conscience.</w:t>
      </w:r>
    </w:p>
    <w:p w:rsidR="00CE2914" w:rsidRPr="00255861" w:rsidRDefault="00BD25CE" w:rsidP="00CE2914">
      <w:pPr>
        <w:pStyle w:val="ParaNoNdepar-AltN"/>
        <w:rPr>
          <w:rFonts w:cs="Times New Roman"/>
          <w:szCs w:val="24"/>
          <w:lang w:val="fr-CA"/>
        </w:rPr>
      </w:pPr>
      <w:r w:rsidRPr="00255861">
        <w:rPr>
          <w:rFonts w:cs="Times New Roman"/>
          <w:szCs w:val="24"/>
          <w:lang w:val="fr-CA"/>
        </w:rPr>
        <w:t xml:space="preserve">Et </w:t>
      </w:r>
      <w:r w:rsidR="00CE2914" w:rsidRPr="00255861">
        <w:rPr>
          <w:rFonts w:cs="Times New Roman"/>
          <w:szCs w:val="24"/>
          <w:lang w:val="fr-CA"/>
        </w:rPr>
        <w:t>ce</w:t>
      </w:r>
      <w:r w:rsidR="006E71B5" w:rsidRPr="00255861">
        <w:rPr>
          <w:rFonts w:cs="Times New Roman"/>
          <w:szCs w:val="24"/>
          <w:lang w:val="fr-CA"/>
        </w:rPr>
        <w:t xml:space="preserve"> n’est pas tout. L’égalité comme condition de la démocratie </w:t>
      </w:r>
      <w:r w:rsidR="002E20E4" w:rsidRPr="00255861">
        <w:rPr>
          <w:rFonts w:cs="Times New Roman"/>
          <w:szCs w:val="24"/>
          <w:lang w:val="fr-CA"/>
        </w:rPr>
        <w:t>refuse</w:t>
      </w:r>
      <w:r w:rsidR="006E71B5" w:rsidRPr="00255861">
        <w:rPr>
          <w:rFonts w:cs="Times New Roman"/>
          <w:szCs w:val="24"/>
          <w:lang w:val="fr-CA"/>
        </w:rPr>
        <w:t xml:space="preserve"> que les lois </w:t>
      </w:r>
      <w:r w:rsidR="002E20E4" w:rsidRPr="00255861">
        <w:rPr>
          <w:rFonts w:cs="Times New Roman"/>
          <w:szCs w:val="24"/>
          <w:lang w:val="fr-CA"/>
        </w:rPr>
        <w:t>indiquent</w:t>
      </w:r>
      <w:r w:rsidR="007D55B6" w:rsidRPr="00255861">
        <w:rPr>
          <w:rFonts w:cs="Times New Roman"/>
          <w:szCs w:val="24"/>
          <w:lang w:val="fr-CA"/>
        </w:rPr>
        <w:t xml:space="preserve"> à</w:t>
      </w:r>
      <w:r w:rsidR="006E71B5" w:rsidRPr="00255861">
        <w:rPr>
          <w:rFonts w:cs="Times New Roman"/>
          <w:szCs w:val="24"/>
          <w:lang w:val="fr-CA"/>
        </w:rPr>
        <w:t xml:space="preserve"> certaines personnes</w:t>
      </w:r>
      <w:r w:rsidR="007D55B6" w:rsidRPr="00255861">
        <w:rPr>
          <w:rFonts w:cs="Times New Roman"/>
          <w:szCs w:val="24"/>
          <w:lang w:val="fr-CA"/>
        </w:rPr>
        <w:t xml:space="preserve"> qu’elles sont </w:t>
      </w:r>
      <w:r w:rsidR="002E20E4" w:rsidRPr="00255861">
        <w:rPr>
          <w:rFonts w:cs="Times New Roman"/>
          <w:szCs w:val="24"/>
          <w:lang w:val="fr-CA"/>
        </w:rPr>
        <w:t>— en fonction de leur identité propre —</w:t>
      </w:r>
      <w:r w:rsidR="002E20E4" w:rsidRPr="00255861">
        <w:rPr>
          <w:rFonts w:cs="Times New Roman" w:hint="eastAsia"/>
          <w:szCs w:val="24"/>
          <w:lang w:val="fr-CA"/>
        </w:rPr>
        <w:t xml:space="preserve"> </w:t>
      </w:r>
      <w:r w:rsidR="007D55B6" w:rsidRPr="00255861">
        <w:rPr>
          <w:rFonts w:cs="Times New Roman"/>
          <w:szCs w:val="24"/>
          <w:lang w:val="fr-CA"/>
        </w:rPr>
        <w:t xml:space="preserve">moins </w:t>
      </w:r>
      <w:r w:rsidR="006E71B5" w:rsidRPr="00255861">
        <w:rPr>
          <w:rFonts w:cs="Times New Roman"/>
          <w:szCs w:val="24"/>
          <w:lang w:val="fr-CA"/>
        </w:rPr>
        <w:t>dignes de reconnaissance que d’autres</w:t>
      </w:r>
      <w:r w:rsidR="006E71B5" w:rsidRPr="00255861">
        <w:rPr>
          <w:rStyle w:val="Appelnotedebasdep"/>
          <w:rFonts w:cs="Times New Roman"/>
          <w:szCs w:val="24"/>
        </w:rPr>
        <w:footnoteReference w:id="35"/>
      </w:r>
      <w:r w:rsidR="006E71B5" w:rsidRPr="00255861">
        <w:rPr>
          <w:rFonts w:cs="Times New Roman"/>
          <w:szCs w:val="24"/>
          <w:lang w:val="fr-CA"/>
        </w:rPr>
        <w:t xml:space="preserve">. Les lois qui envoient de tels messages, que ce soit volontairement ou de par leurs effets, minent les conditions essentielles </w:t>
      </w:r>
      <w:r w:rsidR="003126B3" w:rsidRPr="00255861">
        <w:rPr>
          <w:rFonts w:cs="Times New Roman"/>
          <w:szCs w:val="24"/>
          <w:lang w:val="fr-CA"/>
        </w:rPr>
        <w:t>de</w:t>
      </w:r>
      <w:r w:rsidR="006E71B5" w:rsidRPr="00255861">
        <w:rPr>
          <w:rFonts w:cs="Times New Roman"/>
          <w:szCs w:val="24"/>
          <w:lang w:val="fr-CA"/>
        </w:rPr>
        <w:t xml:space="preserve"> l’existence de la délibération démocratique. </w:t>
      </w:r>
      <w:r w:rsidR="003A5659" w:rsidRPr="00255861">
        <w:rPr>
          <w:rFonts w:cs="Times New Roman"/>
          <w:szCs w:val="24"/>
          <w:lang w:val="fr-CA"/>
        </w:rPr>
        <w:t xml:space="preserve">Une violation du droit à l’égalité doit être plus difficile à justifier lorsqu’elle porte atteinte à ce qui constitue l’essence de l’identité d’un individu — et par le fait même à la reconnaissance de son statut de participant à part entière à la conversation démocratique. </w:t>
      </w:r>
    </w:p>
    <w:p w:rsidR="00CE2914" w:rsidRPr="00255861" w:rsidRDefault="008E4739" w:rsidP="00E332D0">
      <w:pPr>
        <w:pStyle w:val="ParaNoNdepar-AltN"/>
        <w:rPr>
          <w:rFonts w:cs="Times New Roman"/>
          <w:szCs w:val="24"/>
          <w:lang w:val="fr-CA"/>
        </w:rPr>
      </w:pPr>
      <w:r w:rsidRPr="00255861">
        <w:rPr>
          <w:rFonts w:cs="Times New Roman"/>
          <w:szCs w:val="24"/>
          <w:lang w:val="fr-CA"/>
        </w:rPr>
        <w:t>À titre d’</w:t>
      </w:r>
      <w:r w:rsidR="00CE2914" w:rsidRPr="00255861">
        <w:rPr>
          <w:rFonts w:cs="Times New Roman"/>
          <w:szCs w:val="24"/>
          <w:lang w:val="fr-CA"/>
        </w:rPr>
        <w:t xml:space="preserve">exemple, </w:t>
      </w:r>
      <w:r w:rsidR="00E332D0" w:rsidRPr="00255861">
        <w:rPr>
          <w:rFonts w:cs="Times New Roman"/>
          <w:szCs w:val="24"/>
          <w:lang w:val="fr-CA"/>
        </w:rPr>
        <w:t xml:space="preserve">il fut une époque où la </w:t>
      </w:r>
      <w:r w:rsidR="00E332D0" w:rsidRPr="00255861">
        <w:rPr>
          <w:rFonts w:cs="Times New Roman"/>
          <w:i/>
          <w:szCs w:val="24"/>
          <w:lang w:val="fr-CA"/>
        </w:rPr>
        <w:t xml:space="preserve">Loi électorale du Canada </w:t>
      </w:r>
      <w:r w:rsidR="00E332D0" w:rsidRPr="00255861">
        <w:rPr>
          <w:rFonts w:cs="Times New Roman"/>
          <w:szCs w:val="24"/>
          <w:lang w:val="fr-CA"/>
        </w:rPr>
        <w:t>interdisait aux prisonniers fédéraux de prendre part au</w:t>
      </w:r>
      <w:r w:rsidR="005B7AE2" w:rsidRPr="00255861">
        <w:rPr>
          <w:rFonts w:cs="Times New Roman"/>
          <w:szCs w:val="24"/>
          <w:lang w:val="fr-CA"/>
        </w:rPr>
        <w:t>x élections</w:t>
      </w:r>
      <w:r w:rsidR="00823268" w:rsidRPr="00255861">
        <w:rPr>
          <w:rFonts w:cs="Times New Roman"/>
          <w:szCs w:val="24"/>
          <w:lang w:val="fr-CA"/>
        </w:rPr>
        <w:t>,</w:t>
      </w:r>
      <w:r w:rsidR="00E332D0" w:rsidRPr="00255861">
        <w:rPr>
          <w:rFonts w:cs="Times New Roman"/>
          <w:szCs w:val="24"/>
          <w:lang w:val="fr-CA"/>
        </w:rPr>
        <w:t xml:space="preserve"> au motif que ceux qui commettent des actes criminels graves devraient temporairement être privés d’une facette de l</w:t>
      </w:r>
      <w:r w:rsidRPr="00255861">
        <w:rPr>
          <w:rFonts w:cs="Times New Roman"/>
          <w:szCs w:val="24"/>
          <w:lang w:val="fr-CA"/>
        </w:rPr>
        <w:t>’</w:t>
      </w:r>
      <w:r w:rsidR="00E332D0" w:rsidRPr="00255861">
        <w:rPr>
          <w:rFonts w:cs="Times New Roman"/>
          <w:szCs w:val="24"/>
          <w:lang w:val="fr-CA"/>
        </w:rPr>
        <w:t>égalité politique des citoyens.</w:t>
      </w:r>
      <w:r w:rsidR="00C12B9C" w:rsidRPr="00255861">
        <w:rPr>
          <w:rFonts w:cs="Times New Roman"/>
          <w:szCs w:val="24"/>
          <w:lang w:val="fr-CA"/>
        </w:rPr>
        <w:t xml:space="preserve"> </w:t>
      </w:r>
      <w:r w:rsidR="00823268" w:rsidRPr="00255861">
        <w:rPr>
          <w:rFonts w:cs="Times New Roman"/>
          <w:szCs w:val="24"/>
          <w:lang w:val="fr-CA"/>
        </w:rPr>
        <w:t>Différentes considérations avaient été soulevées pour justifier cette mesure</w:t>
      </w:r>
      <w:r w:rsidRPr="00255861">
        <w:rPr>
          <w:rFonts w:cs="Times New Roman"/>
          <w:szCs w:val="24"/>
          <w:lang w:val="fr-CA"/>
        </w:rPr>
        <w:t xml:space="preserve"> et</w:t>
      </w:r>
      <w:r w:rsidR="00C12B9C" w:rsidRPr="00255861">
        <w:rPr>
          <w:rFonts w:cs="Times New Roman"/>
          <w:szCs w:val="24"/>
          <w:lang w:val="fr-CA"/>
        </w:rPr>
        <w:t xml:space="preserve"> notamment la </w:t>
      </w:r>
      <w:r w:rsidR="00C12B9C" w:rsidRPr="00255861">
        <w:rPr>
          <w:rFonts w:cs="Times New Roman"/>
          <w:szCs w:val="24"/>
          <w:lang w:val="fr-FR"/>
        </w:rPr>
        <w:t xml:space="preserve">promotion </w:t>
      </w:r>
      <w:r w:rsidR="003515B7" w:rsidRPr="00255861">
        <w:rPr>
          <w:rFonts w:cs="Times New Roman"/>
          <w:szCs w:val="24"/>
          <w:lang w:val="fr-FR"/>
        </w:rPr>
        <w:t xml:space="preserve">du sens </w:t>
      </w:r>
      <w:r w:rsidR="00C12B9C" w:rsidRPr="00255861">
        <w:rPr>
          <w:rFonts w:cs="Times New Roman"/>
          <w:szCs w:val="24"/>
          <w:lang w:val="fr-FR"/>
        </w:rPr>
        <w:t>civique</w:t>
      </w:r>
      <w:r w:rsidR="00C12B9C" w:rsidRPr="00255861">
        <w:rPr>
          <w:rFonts w:cs="Times New Roman"/>
          <w:szCs w:val="24"/>
          <w:lang w:val="fr-CA"/>
        </w:rPr>
        <w:t xml:space="preserve"> et </w:t>
      </w:r>
      <w:r w:rsidR="00C12B9C" w:rsidRPr="00255861">
        <w:rPr>
          <w:rFonts w:cs="Times New Roman"/>
          <w:szCs w:val="24"/>
          <w:lang w:val="fr-FR"/>
        </w:rPr>
        <w:t xml:space="preserve">l’importance du lien entre l’individu et la collectivité. Dans une décision partagée </w:t>
      </w:r>
      <w:r w:rsidRPr="00255861">
        <w:rPr>
          <w:rFonts w:cs="Times New Roman"/>
          <w:szCs w:val="24"/>
          <w:lang w:val="fr-FR"/>
        </w:rPr>
        <w:t>de</w:t>
      </w:r>
      <w:r w:rsidR="00C12B9C" w:rsidRPr="00255861">
        <w:rPr>
          <w:rFonts w:cs="Times New Roman"/>
          <w:szCs w:val="24"/>
          <w:lang w:val="fr-FR"/>
        </w:rPr>
        <w:t xml:space="preserve"> 5 contre 4, la Cour </w:t>
      </w:r>
      <w:r w:rsidRPr="00255861">
        <w:rPr>
          <w:rFonts w:cs="Times New Roman"/>
          <w:szCs w:val="24"/>
          <w:lang w:val="fr-FR"/>
        </w:rPr>
        <w:t xml:space="preserve">suprême </w:t>
      </w:r>
      <w:r w:rsidR="00C12B9C" w:rsidRPr="00255861">
        <w:rPr>
          <w:rFonts w:cs="Times New Roman"/>
          <w:szCs w:val="24"/>
          <w:lang w:val="fr-FR"/>
        </w:rPr>
        <w:t>a</w:t>
      </w:r>
      <w:r w:rsidR="00823268" w:rsidRPr="00255861">
        <w:rPr>
          <w:rFonts w:cs="Times New Roman"/>
          <w:szCs w:val="24"/>
          <w:lang w:val="fr-FR"/>
        </w:rPr>
        <w:t xml:space="preserve"> toutefois</w:t>
      </w:r>
      <w:r w:rsidR="00C12B9C" w:rsidRPr="00255861">
        <w:rPr>
          <w:rFonts w:cs="Times New Roman"/>
          <w:szCs w:val="24"/>
          <w:lang w:val="fr-FR"/>
        </w:rPr>
        <w:t xml:space="preserve"> jugé </w:t>
      </w:r>
      <w:r w:rsidR="00AF2C90" w:rsidRPr="00255861">
        <w:rPr>
          <w:rFonts w:cs="Times New Roman"/>
          <w:szCs w:val="24"/>
          <w:lang w:val="fr-FR"/>
        </w:rPr>
        <w:t xml:space="preserve">dans </w:t>
      </w:r>
      <w:r w:rsidRPr="00255861">
        <w:rPr>
          <w:rFonts w:cs="Times New Roman"/>
          <w:szCs w:val="24"/>
          <w:lang w:val="fr-FR"/>
        </w:rPr>
        <w:t xml:space="preserve">l’arrêt </w:t>
      </w:r>
      <w:r w:rsidR="00AF2C90" w:rsidRPr="00255861">
        <w:rPr>
          <w:rFonts w:cs="Times New Roman"/>
          <w:i/>
          <w:szCs w:val="24"/>
          <w:lang w:val="fr-FR"/>
        </w:rPr>
        <w:t xml:space="preserve">Sauvé </w:t>
      </w:r>
      <w:r w:rsidRPr="00255861">
        <w:rPr>
          <w:rFonts w:cs="Times New Roman"/>
          <w:szCs w:val="24"/>
          <w:lang w:val="fr-FR"/>
        </w:rPr>
        <w:t xml:space="preserve">en 2002, </w:t>
      </w:r>
      <w:r w:rsidR="00C12B9C" w:rsidRPr="00255861">
        <w:rPr>
          <w:rFonts w:cs="Times New Roman"/>
          <w:szCs w:val="24"/>
          <w:lang w:val="fr-FR"/>
        </w:rPr>
        <w:t>que de permettre aux représentants élus de priver le</w:t>
      </w:r>
      <w:r w:rsidR="005B7AE2" w:rsidRPr="00255861">
        <w:rPr>
          <w:rFonts w:cs="Times New Roman"/>
          <w:szCs w:val="24"/>
          <w:lang w:val="fr-FR"/>
        </w:rPr>
        <w:t xml:space="preserve">s </w:t>
      </w:r>
      <w:r w:rsidR="00C12B9C" w:rsidRPr="00255861">
        <w:rPr>
          <w:rFonts w:cs="Times New Roman"/>
          <w:szCs w:val="24"/>
          <w:lang w:val="fr-FR"/>
        </w:rPr>
        <w:t xml:space="preserve">détenus du droit de vote n’avait pas sa place dans </w:t>
      </w:r>
      <w:r w:rsidR="00C12B9C" w:rsidRPr="00255861">
        <w:rPr>
          <w:rFonts w:cs="Times New Roman"/>
          <w:szCs w:val="24"/>
          <w:lang w:val="fr-FR"/>
        </w:rPr>
        <w:lastRenderedPageBreak/>
        <w:t>une démocratie fondée sur des principes d’inclusion, d’égalité et de participation du citoyen</w:t>
      </w:r>
      <w:r w:rsidR="000F4FD0" w:rsidRPr="00255861">
        <w:rPr>
          <w:rStyle w:val="Appelnotedebasdep"/>
          <w:rFonts w:cs="Times New Roman"/>
          <w:szCs w:val="24"/>
          <w:lang w:val="fr-FR"/>
        </w:rPr>
        <w:footnoteReference w:id="36"/>
      </w:r>
      <w:r w:rsidR="00C12B9C" w:rsidRPr="00255861">
        <w:rPr>
          <w:rFonts w:cs="Times New Roman"/>
          <w:szCs w:val="24"/>
          <w:lang w:val="fr-FR"/>
        </w:rPr>
        <w:t>.</w:t>
      </w:r>
      <w:r w:rsidR="003515B7" w:rsidRPr="00255861">
        <w:rPr>
          <w:rFonts w:cs="Times New Roman"/>
          <w:szCs w:val="24"/>
          <w:lang w:val="fr-FR"/>
        </w:rPr>
        <w:t xml:space="preserve"> En privant</w:t>
      </w:r>
      <w:r w:rsidR="00C12B9C" w:rsidRPr="00255861">
        <w:rPr>
          <w:rFonts w:cs="Times New Roman"/>
          <w:szCs w:val="24"/>
          <w:lang w:val="fr-FR"/>
        </w:rPr>
        <w:t xml:space="preserve"> les personnes à risque de leur identité collective et de leur sentiment d’appartenance à la communauté</w:t>
      </w:r>
      <w:r w:rsidR="00AF2C90" w:rsidRPr="00255861">
        <w:rPr>
          <w:rFonts w:cs="Times New Roman"/>
          <w:szCs w:val="24"/>
          <w:lang w:val="fr-FR"/>
        </w:rPr>
        <w:t xml:space="preserve"> politique, l’interdiction a été</w:t>
      </w:r>
      <w:r w:rsidR="00823268" w:rsidRPr="00255861">
        <w:rPr>
          <w:rFonts w:cs="Times New Roman"/>
          <w:szCs w:val="24"/>
          <w:lang w:val="fr-FR"/>
        </w:rPr>
        <w:t xml:space="preserve"> vue comme</w:t>
      </w:r>
      <w:r w:rsidR="003515B7" w:rsidRPr="00255861">
        <w:rPr>
          <w:rFonts w:cs="Times New Roman"/>
          <w:szCs w:val="24"/>
          <w:lang w:val="fr-FR"/>
        </w:rPr>
        <w:t xml:space="preserve"> </w:t>
      </w:r>
      <w:r w:rsidR="00C12B9C" w:rsidRPr="00255861">
        <w:rPr>
          <w:rFonts w:cs="Times New Roman"/>
          <w:szCs w:val="24"/>
          <w:lang w:val="fr-FR"/>
        </w:rPr>
        <w:t>peu susceptible de leur insuff</w:t>
      </w:r>
      <w:r w:rsidR="003515B7" w:rsidRPr="00255861">
        <w:rPr>
          <w:rFonts w:cs="Times New Roman"/>
          <w:szCs w:val="24"/>
          <w:lang w:val="fr-FR"/>
        </w:rPr>
        <w:t xml:space="preserve">ler le sens des responsabilités. </w:t>
      </w:r>
    </w:p>
    <w:p w:rsidR="005275EF" w:rsidRPr="00255861" w:rsidRDefault="0075632D" w:rsidP="00A108A4">
      <w:pPr>
        <w:pStyle w:val="ParaNoNdepar-AltN"/>
        <w:rPr>
          <w:rFonts w:cs="Times New Roman"/>
          <w:szCs w:val="24"/>
          <w:lang w:val="fr-CA"/>
        </w:rPr>
      </w:pPr>
      <w:r w:rsidRPr="00255861">
        <w:rPr>
          <w:rFonts w:cs="Times New Roman"/>
          <w:szCs w:val="24"/>
          <w:lang w:val="fr-CA"/>
        </w:rPr>
        <w:t xml:space="preserve">Cela </w:t>
      </w:r>
      <w:r w:rsidR="00AF2C90" w:rsidRPr="00255861">
        <w:rPr>
          <w:rFonts w:cs="Times New Roman"/>
          <w:szCs w:val="24"/>
          <w:lang w:val="fr-CA"/>
        </w:rPr>
        <w:t>dit, s</w:t>
      </w:r>
      <w:r w:rsidR="00CE2914" w:rsidRPr="00255861">
        <w:rPr>
          <w:rFonts w:cs="Times New Roman"/>
          <w:szCs w:val="24"/>
          <w:lang w:val="fr-CA"/>
        </w:rPr>
        <w:t xml:space="preserve">’il y a une chose que j’aimerais que vous reteniez de </w:t>
      </w:r>
      <w:r w:rsidRPr="00255861">
        <w:rPr>
          <w:rFonts w:cs="Times New Roman"/>
          <w:szCs w:val="24"/>
          <w:lang w:val="fr-CA"/>
        </w:rPr>
        <w:t xml:space="preserve">mes propos </w:t>
      </w:r>
      <w:r w:rsidR="00CE2914" w:rsidRPr="00255861">
        <w:rPr>
          <w:rFonts w:cs="Times New Roman"/>
          <w:szCs w:val="24"/>
          <w:lang w:val="fr-CA"/>
        </w:rPr>
        <w:t>ce soir, c’est que</w:t>
      </w:r>
      <w:r w:rsidR="002E20E4" w:rsidRPr="00255861">
        <w:rPr>
          <w:rFonts w:cs="Times New Roman"/>
          <w:szCs w:val="24"/>
          <w:lang w:val="fr-CA"/>
        </w:rPr>
        <w:t xml:space="preserve"> la richesse de notre expér</w:t>
      </w:r>
      <w:r w:rsidR="00CE2914" w:rsidRPr="00255861">
        <w:rPr>
          <w:rFonts w:cs="Times New Roman"/>
          <w:szCs w:val="24"/>
          <w:lang w:val="fr-CA"/>
        </w:rPr>
        <w:t xml:space="preserve">ience démocratique repose </w:t>
      </w:r>
      <w:r w:rsidR="002E20E4" w:rsidRPr="00255861">
        <w:rPr>
          <w:rFonts w:cs="Times New Roman"/>
          <w:szCs w:val="24"/>
          <w:lang w:val="fr-CA"/>
        </w:rPr>
        <w:t xml:space="preserve">sur notre capacité </w:t>
      </w:r>
      <w:r w:rsidR="00234039" w:rsidRPr="00255861">
        <w:rPr>
          <w:rFonts w:cs="Times New Roman"/>
          <w:szCs w:val="24"/>
          <w:lang w:val="fr-CA"/>
        </w:rPr>
        <w:t>à a</w:t>
      </w:r>
      <w:r w:rsidR="00CE2914" w:rsidRPr="00255861">
        <w:rPr>
          <w:rFonts w:cs="Times New Roman"/>
          <w:szCs w:val="24"/>
          <w:lang w:val="fr-CA"/>
        </w:rPr>
        <w:t>border les questions d’</w:t>
      </w:r>
      <w:r w:rsidR="002E20E4" w:rsidRPr="00255861">
        <w:rPr>
          <w:rFonts w:cs="Times New Roman"/>
          <w:szCs w:val="24"/>
          <w:lang w:val="fr-CA"/>
        </w:rPr>
        <w:t xml:space="preserve">identité </w:t>
      </w:r>
      <w:r w:rsidRPr="00255861">
        <w:rPr>
          <w:rFonts w:cs="Times New Roman"/>
          <w:szCs w:val="24"/>
          <w:lang w:val="fr-CA"/>
        </w:rPr>
        <w:t xml:space="preserve">avec sérénité, </w:t>
      </w:r>
      <w:r w:rsidR="00CE2914" w:rsidRPr="00255861">
        <w:rPr>
          <w:rFonts w:cs="Times New Roman"/>
          <w:szCs w:val="24"/>
          <w:lang w:val="fr-CA"/>
        </w:rPr>
        <w:t>retenue</w:t>
      </w:r>
      <w:r w:rsidRPr="00255861">
        <w:rPr>
          <w:rFonts w:cs="Times New Roman"/>
          <w:szCs w:val="24"/>
          <w:lang w:val="fr-CA"/>
        </w:rPr>
        <w:t xml:space="preserve"> et ouverture d’esprit</w:t>
      </w:r>
      <w:r w:rsidR="002E20E4" w:rsidRPr="00255861">
        <w:rPr>
          <w:rFonts w:cs="Times New Roman"/>
          <w:szCs w:val="24"/>
          <w:lang w:val="fr-CA"/>
        </w:rPr>
        <w:t>.</w:t>
      </w:r>
      <w:r w:rsidR="00234039" w:rsidRPr="00255861">
        <w:rPr>
          <w:rFonts w:cs="Times New Roman"/>
          <w:szCs w:val="24"/>
          <w:lang w:val="fr-CA"/>
        </w:rPr>
        <w:t xml:space="preserve"> Il m’apparait inévitable</w:t>
      </w:r>
      <w:r w:rsidR="00C95B25" w:rsidRPr="00255861">
        <w:rPr>
          <w:rFonts w:cs="Times New Roman"/>
          <w:szCs w:val="24"/>
          <w:lang w:val="fr-CA"/>
        </w:rPr>
        <w:t>,</w:t>
      </w:r>
      <w:r w:rsidR="00234039" w:rsidRPr="00255861">
        <w:rPr>
          <w:rFonts w:cs="Times New Roman"/>
          <w:szCs w:val="24"/>
          <w:lang w:val="fr-CA"/>
        </w:rPr>
        <w:t xml:space="preserve"> dans le cadre d’une </w:t>
      </w:r>
      <w:r w:rsidR="00C95B25" w:rsidRPr="00255861">
        <w:rPr>
          <w:rFonts w:cs="Times New Roman"/>
          <w:szCs w:val="24"/>
          <w:lang w:val="fr-CA"/>
        </w:rPr>
        <w:t>société</w:t>
      </w:r>
      <w:r w:rsidR="00234039" w:rsidRPr="00255861">
        <w:rPr>
          <w:rFonts w:cs="Times New Roman"/>
          <w:szCs w:val="24"/>
          <w:lang w:val="fr-CA"/>
        </w:rPr>
        <w:t xml:space="preserve"> d</w:t>
      </w:r>
      <w:r w:rsidR="00C95B25" w:rsidRPr="00255861">
        <w:rPr>
          <w:rFonts w:cs="Times New Roman"/>
          <w:szCs w:val="24"/>
          <w:lang w:val="fr-CA"/>
        </w:rPr>
        <w:t>émocratique saine comme la nôtre, que l’on puisse s</w:t>
      </w:r>
      <w:r w:rsidR="00234039" w:rsidRPr="00255861">
        <w:rPr>
          <w:rFonts w:cs="Times New Roman"/>
          <w:szCs w:val="24"/>
          <w:lang w:val="fr-CA"/>
        </w:rPr>
        <w:t>e pos</w:t>
      </w:r>
      <w:r w:rsidR="00C95B25" w:rsidRPr="00255861">
        <w:rPr>
          <w:rFonts w:cs="Times New Roman"/>
          <w:szCs w:val="24"/>
          <w:lang w:val="fr-CA"/>
        </w:rPr>
        <w:t>e</w:t>
      </w:r>
      <w:r w:rsidR="00953E40" w:rsidRPr="00255861">
        <w:rPr>
          <w:rFonts w:cs="Times New Roman"/>
          <w:szCs w:val="24"/>
          <w:lang w:val="fr-CA"/>
        </w:rPr>
        <w:t>r</w:t>
      </w:r>
      <w:r w:rsidR="00C95B25" w:rsidRPr="00255861">
        <w:rPr>
          <w:rFonts w:cs="Times New Roman"/>
          <w:szCs w:val="24"/>
          <w:lang w:val="fr-CA"/>
        </w:rPr>
        <w:t xml:space="preserve"> collectivement </w:t>
      </w:r>
      <w:r w:rsidR="00234039" w:rsidRPr="00255861">
        <w:rPr>
          <w:rFonts w:cs="Times New Roman"/>
          <w:szCs w:val="24"/>
          <w:lang w:val="fr-CA"/>
        </w:rPr>
        <w:t xml:space="preserve">la question de savoir </w:t>
      </w:r>
      <w:r w:rsidR="00C95B25" w:rsidRPr="00255861">
        <w:rPr>
          <w:rFonts w:cs="Times New Roman"/>
          <w:szCs w:val="24"/>
          <w:lang w:val="fr-CA"/>
        </w:rPr>
        <w:t>ce qu</w:t>
      </w:r>
      <w:r w:rsidRPr="00255861">
        <w:rPr>
          <w:rFonts w:cs="Times New Roman"/>
          <w:szCs w:val="24"/>
          <w:lang w:val="fr-CA"/>
        </w:rPr>
        <w:t xml:space="preserve">e cela </w:t>
      </w:r>
      <w:r w:rsidR="00C95B25" w:rsidRPr="00255861">
        <w:rPr>
          <w:rFonts w:cs="Times New Roman"/>
          <w:szCs w:val="24"/>
          <w:lang w:val="fr-CA"/>
        </w:rPr>
        <w:t xml:space="preserve">implique </w:t>
      </w:r>
      <w:r w:rsidRPr="00255861">
        <w:rPr>
          <w:rFonts w:cs="Times New Roman"/>
          <w:szCs w:val="24"/>
          <w:lang w:val="fr-CA"/>
        </w:rPr>
        <w:t>d’</w:t>
      </w:r>
      <w:r w:rsidR="00C95B25" w:rsidRPr="00255861">
        <w:rPr>
          <w:rFonts w:cs="Times New Roman"/>
          <w:szCs w:val="24"/>
          <w:lang w:val="fr-CA"/>
        </w:rPr>
        <w:t>ê</w:t>
      </w:r>
      <w:r w:rsidR="00234039" w:rsidRPr="00255861">
        <w:rPr>
          <w:rFonts w:cs="Times New Roman"/>
          <w:szCs w:val="24"/>
          <w:lang w:val="fr-CA"/>
        </w:rPr>
        <w:t xml:space="preserve">tre québécois et canadien </w:t>
      </w:r>
      <w:r w:rsidR="00C95B25" w:rsidRPr="00255861">
        <w:rPr>
          <w:rFonts w:cs="Times New Roman"/>
          <w:szCs w:val="24"/>
          <w:lang w:val="fr-CA"/>
        </w:rPr>
        <w:t>en 2017.</w:t>
      </w:r>
      <w:r w:rsidR="00953E40" w:rsidRPr="00255861">
        <w:rPr>
          <w:rFonts w:cs="Times New Roman"/>
          <w:szCs w:val="24"/>
          <w:lang w:val="fr-CA"/>
        </w:rPr>
        <w:t xml:space="preserve"> </w:t>
      </w:r>
      <w:r w:rsidR="005275EF" w:rsidRPr="00255861">
        <w:rPr>
          <w:rFonts w:cs="Times New Roman"/>
          <w:szCs w:val="24"/>
          <w:lang w:val="fr-CA"/>
        </w:rPr>
        <w:t xml:space="preserve">Pour moi, l’habileté à délibérer des dimensions autant individuelle que collective de l’identité est un héritage précieux à transmettre à ceux </w:t>
      </w:r>
      <w:r w:rsidR="008A6F8C" w:rsidRPr="00255861">
        <w:rPr>
          <w:rFonts w:cs="Times New Roman"/>
          <w:szCs w:val="24"/>
          <w:lang w:val="fr-CA"/>
        </w:rPr>
        <w:t xml:space="preserve">et celles </w:t>
      </w:r>
      <w:r w:rsidR="005275EF" w:rsidRPr="00255861">
        <w:rPr>
          <w:rFonts w:cs="Times New Roman"/>
          <w:szCs w:val="24"/>
          <w:lang w:val="fr-CA"/>
        </w:rPr>
        <w:t xml:space="preserve">qui nous suivront. </w:t>
      </w:r>
      <w:r w:rsidR="008A6F8C" w:rsidRPr="00255861">
        <w:rPr>
          <w:rFonts w:cs="Times New Roman"/>
          <w:szCs w:val="24"/>
          <w:lang w:val="fr-CA"/>
        </w:rPr>
        <w:t>Les défis qui les attendent n’exigent rien de moins.</w:t>
      </w:r>
    </w:p>
    <w:p w:rsidR="000D69A9" w:rsidRPr="00255861" w:rsidRDefault="000D69A9" w:rsidP="005275EF">
      <w:pPr>
        <w:pStyle w:val="ParaNoNdepar-AltN"/>
        <w:keepNext/>
        <w:numPr>
          <w:ilvl w:val="0"/>
          <w:numId w:val="0"/>
        </w:numPr>
        <w:rPr>
          <w:rFonts w:cs="Times New Roman"/>
          <w:b/>
          <w:i/>
          <w:szCs w:val="24"/>
          <w:lang w:val="fr-CA"/>
        </w:rPr>
      </w:pPr>
      <w:r w:rsidRPr="00255861">
        <w:rPr>
          <w:rFonts w:cs="Times New Roman"/>
          <w:b/>
          <w:i/>
          <w:szCs w:val="24"/>
          <w:lang w:val="fr-CA"/>
        </w:rPr>
        <w:t>Conclusion</w:t>
      </w:r>
    </w:p>
    <w:p w:rsidR="00B66E19" w:rsidRPr="00255861" w:rsidRDefault="004576B6" w:rsidP="005275EF">
      <w:pPr>
        <w:pStyle w:val="ParaNoNdepar-AltN"/>
        <w:keepNext/>
        <w:rPr>
          <w:rFonts w:cs="Times New Roman"/>
          <w:szCs w:val="24"/>
          <w:lang w:val="fr-CA"/>
        </w:rPr>
      </w:pPr>
      <w:r w:rsidRPr="00255861">
        <w:rPr>
          <w:rFonts w:cs="Times New Roman"/>
          <w:szCs w:val="24"/>
          <w:lang w:val="fr-CA"/>
        </w:rPr>
        <w:t>En conclusion, je suis d’avis que l</w:t>
      </w:r>
      <w:r w:rsidR="0075632D" w:rsidRPr="00255861">
        <w:rPr>
          <w:rFonts w:cs="Times New Roman"/>
          <w:szCs w:val="24"/>
          <w:lang w:val="fr-CA"/>
        </w:rPr>
        <w:t>e concept de dignité humaine a connu une trajectoire incertaine dans la jurisprudence de la Cour sur l’égalité</w:t>
      </w:r>
      <w:r w:rsidR="0075632D" w:rsidRPr="00255861">
        <w:rPr>
          <w:rStyle w:val="Appelnotedebasdep"/>
          <w:rFonts w:cs="Times New Roman"/>
          <w:szCs w:val="24"/>
        </w:rPr>
        <w:footnoteReference w:id="37"/>
      </w:r>
      <w:r w:rsidR="0075632D" w:rsidRPr="00255861">
        <w:rPr>
          <w:rFonts w:cs="Times New Roman"/>
          <w:szCs w:val="24"/>
          <w:lang w:val="fr-CA"/>
        </w:rPr>
        <w:t>. Comme outil pour cerner une violation à l’art. 15, le concept de « dignité humaine » est devenu un obstacle vague et non pertinent sur la route des demandeurs dans le cadre de recours en matière d’égalité</w:t>
      </w:r>
      <w:r w:rsidR="0075632D" w:rsidRPr="00255861">
        <w:rPr>
          <w:rStyle w:val="Appelnotedebasdep"/>
          <w:rFonts w:cs="Times New Roman"/>
          <w:szCs w:val="24"/>
        </w:rPr>
        <w:footnoteReference w:id="38"/>
      </w:r>
      <w:r w:rsidR="0075632D" w:rsidRPr="00255861">
        <w:rPr>
          <w:rFonts w:cs="Times New Roman"/>
          <w:szCs w:val="24"/>
          <w:lang w:val="fr-CA"/>
        </w:rPr>
        <w:t xml:space="preserve">. Pourtant, la dignité humaine place l’égalité au cœur des aspirations fondamentalement démocratiques que vise la </w:t>
      </w:r>
      <w:r w:rsidR="0075632D" w:rsidRPr="00255861">
        <w:rPr>
          <w:rFonts w:cs="Times New Roman"/>
          <w:i/>
          <w:szCs w:val="24"/>
          <w:lang w:val="fr-CA"/>
        </w:rPr>
        <w:t>Charte</w:t>
      </w:r>
      <w:r w:rsidR="0075632D" w:rsidRPr="00255861">
        <w:rPr>
          <w:rFonts w:cs="Times New Roman"/>
          <w:szCs w:val="24"/>
          <w:lang w:val="fr-CA"/>
        </w:rPr>
        <w:t xml:space="preserve">. C’est </w:t>
      </w:r>
      <w:r w:rsidR="0075632D" w:rsidRPr="00255861">
        <w:rPr>
          <w:rFonts w:cs="Times New Roman"/>
          <w:szCs w:val="24"/>
          <w:lang w:val="fr-CA"/>
        </w:rPr>
        <w:lastRenderedPageBreak/>
        <w:t xml:space="preserve">un concept encore valide dans le contexte, parce qu’il fournit le lien conceptuel essentiel entre l’égalité et la </w:t>
      </w:r>
      <w:r w:rsidR="0075632D" w:rsidRPr="00255861">
        <w:rPr>
          <w:rFonts w:cs="Times New Roman"/>
          <w:i/>
          <w:szCs w:val="24"/>
          <w:lang w:val="fr-CA"/>
        </w:rPr>
        <w:t>démocratie</w:t>
      </w:r>
      <w:r w:rsidR="0075632D" w:rsidRPr="00255861">
        <w:rPr>
          <w:rFonts w:cs="Times New Roman"/>
          <w:szCs w:val="24"/>
          <w:lang w:val="fr-CA"/>
        </w:rPr>
        <w:t xml:space="preserve">. Comme l’énonce spécifiquement l’art. 1, l’atteinte à un droit protégé par la </w:t>
      </w:r>
      <w:r w:rsidR="0075632D" w:rsidRPr="00255861">
        <w:rPr>
          <w:rFonts w:cs="Times New Roman"/>
          <w:i/>
          <w:szCs w:val="24"/>
          <w:lang w:val="fr-CA"/>
        </w:rPr>
        <w:t>Charte</w:t>
      </w:r>
      <w:r w:rsidR="0075632D" w:rsidRPr="00255861">
        <w:rPr>
          <w:rFonts w:cs="Times New Roman"/>
          <w:szCs w:val="24"/>
          <w:lang w:val="fr-CA"/>
        </w:rPr>
        <w:t xml:space="preserve"> doit être justifiée comme une limite raisonnable dans une société libre et </w:t>
      </w:r>
      <w:r w:rsidR="0075632D" w:rsidRPr="00255861">
        <w:rPr>
          <w:rFonts w:cs="Times New Roman"/>
          <w:i/>
          <w:szCs w:val="24"/>
          <w:lang w:val="fr-CA"/>
        </w:rPr>
        <w:t>démocratique</w:t>
      </w:r>
      <w:r w:rsidR="0075632D" w:rsidRPr="00255861">
        <w:rPr>
          <w:rFonts w:cs="Times New Roman"/>
          <w:szCs w:val="24"/>
          <w:lang w:val="fr-CA"/>
        </w:rPr>
        <w:t xml:space="preserve">. C’est à ce niveau, soit celui de l’analyse de la justification, que la dignité humaine peut jouer selon moi un rôle conceptuel. Tout comme une limite à la liberté d’expression devient plus difficile à justifier lorsqu’elle vise le cœur de la protection prévue à l’al. 2b), une violation de l’égalité doit être progressivement plus difficile à justifier plus elle porte atteinte à l’essence de l’identité d’un individu ou d’un groupe — et par ricochet à la reconnaissance de son statut de participant à part entière au dialogue démocratique continu qui a cours au Canada. En définitive, parler de dignité humaine permet de décrire les torts que cause l’inégalité en termes démocratiques. Le concept nous permet de trouver des terrains d’entente; il constitue une pierre d’assise pour mener à bien la tâche ardue de construire un consensus; enfin, il fournit un cadre de référence commun pour justifier les situations difficiles où les droits et les libertés protégés par la </w:t>
      </w:r>
      <w:r w:rsidR="0075632D" w:rsidRPr="00255861">
        <w:rPr>
          <w:rFonts w:cs="Times New Roman"/>
          <w:i/>
          <w:szCs w:val="24"/>
          <w:lang w:val="fr-CA"/>
        </w:rPr>
        <w:t>Charte</w:t>
      </w:r>
      <w:r w:rsidR="0075632D" w:rsidRPr="00255861">
        <w:rPr>
          <w:rFonts w:cs="Times New Roman"/>
          <w:szCs w:val="24"/>
          <w:lang w:val="fr-CA"/>
        </w:rPr>
        <w:t xml:space="preserve"> entrent en conflit les uns avec les autres</w:t>
      </w:r>
      <w:r w:rsidR="00681294" w:rsidRPr="00255861">
        <w:rPr>
          <w:rFonts w:cs="Times New Roman"/>
          <w:szCs w:val="24"/>
          <w:lang w:val="fr-CA"/>
        </w:rPr>
        <w:t>.</w:t>
      </w:r>
    </w:p>
    <w:p w:rsidR="0075632D" w:rsidRPr="00255861" w:rsidRDefault="00BD25CE" w:rsidP="005275EF">
      <w:pPr>
        <w:pStyle w:val="ParaNoNdepar-AltN"/>
        <w:keepNext/>
        <w:rPr>
          <w:rFonts w:cs="Times New Roman"/>
          <w:szCs w:val="24"/>
          <w:lang w:val="fr-CA"/>
        </w:rPr>
      </w:pPr>
      <w:r w:rsidRPr="00255861">
        <w:rPr>
          <w:rFonts w:cs="Times New Roman"/>
          <w:szCs w:val="24"/>
          <w:lang w:val="fr-CA"/>
        </w:rPr>
        <w:t xml:space="preserve">Vous me permettrez de </w:t>
      </w:r>
      <w:r w:rsidR="0075632D" w:rsidRPr="00255861">
        <w:rPr>
          <w:rFonts w:cs="Times New Roman"/>
          <w:szCs w:val="24"/>
          <w:lang w:val="fr-CA"/>
        </w:rPr>
        <w:t xml:space="preserve">terminer mon exposé par </w:t>
      </w:r>
      <w:r w:rsidR="004576B6" w:rsidRPr="00255861">
        <w:rPr>
          <w:rFonts w:cs="Times New Roman"/>
          <w:szCs w:val="24"/>
          <w:lang w:val="fr-CA"/>
        </w:rPr>
        <w:t xml:space="preserve">une sorte </w:t>
      </w:r>
      <w:r w:rsidR="0075632D" w:rsidRPr="00255861">
        <w:rPr>
          <w:rFonts w:cs="Times New Roman"/>
          <w:szCs w:val="24"/>
          <w:lang w:val="fr-CA"/>
        </w:rPr>
        <w:t>de cri d</w:t>
      </w:r>
      <w:r w:rsidRPr="00255861">
        <w:rPr>
          <w:rFonts w:cs="Times New Roman"/>
          <w:szCs w:val="24"/>
          <w:lang w:val="fr-CA"/>
        </w:rPr>
        <w:t>u</w:t>
      </w:r>
      <w:r w:rsidR="0075632D" w:rsidRPr="00255861">
        <w:rPr>
          <w:rFonts w:cs="Times New Roman"/>
          <w:szCs w:val="24"/>
          <w:lang w:val="fr-CA"/>
        </w:rPr>
        <w:t xml:space="preserve"> cœur. Depuis plusieurs années maintenant, j’ai eu le privilège de participer à des forums de droit comparé, ici </w:t>
      </w:r>
      <w:r w:rsidRPr="00255861">
        <w:rPr>
          <w:rFonts w:cs="Times New Roman"/>
          <w:szCs w:val="24"/>
          <w:lang w:val="fr-CA"/>
        </w:rPr>
        <w:t>afin de trouver la meilleure façon d’arrimer le droit civil et le common law</w:t>
      </w:r>
      <w:r w:rsidR="00B6040E" w:rsidRPr="00255861">
        <w:rPr>
          <w:rFonts w:cs="Times New Roman"/>
          <w:szCs w:val="24"/>
          <w:lang w:val="fr-CA"/>
        </w:rPr>
        <w:t xml:space="preserve"> et aussi à l’étranger</w:t>
      </w:r>
      <w:r w:rsidR="0075632D" w:rsidRPr="00255861">
        <w:rPr>
          <w:rFonts w:cs="Times New Roman"/>
          <w:szCs w:val="24"/>
          <w:lang w:val="fr-CA"/>
        </w:rPr>
        <w:t xml:space="preserve">. La semaine dernière j’étais au Parlement </w:t>
      </w:r>
      <w:r w:rsidR="00BB770D" w:rsidRPr="00255861">
        <w:rPr>
          <w:rFonts w:cs="Times New Roman"/>
          <w:szCs w:val="24"/>
          <w:lang w:val="fr-CA"/>
        </w:rPr>
        <w:t>e</w:t>
      </w:r>
      <w:r w:rsidR="0075632D" w:rsidRPr="00255861">
        <w:rPr>
          <w:rFonts w:cs="Times New Roman"/>
          <w:szCs w:val="24"/>
          <w:lang w:val="fr-CA"/>
        </w:rPr>
        <w:t xml:space="preserve">uropéen dans le cadre d’un forum portant sur les </w:t>
      </w:r>
      <w:r w:rsidR="00C5233E" w:rsidRPr="00255861">
        <w:rPr>
          <w:rFonts w:cs="Times New Roman"/>
          <w:szCs w:val="24"/>
          <w:lang w:val="fr-CA"/>
        </w:rPr>
        <w:t>recours individuels de</w:t>
      </w:r>
      <w:r w:rsidRPr="00255861">
        <w:rPr>
          <w:rFonts w:cs="Times New Roman"/>
          <w:szCs w:val="24"/>
          <w:lang w:val="fr-CA"/>
        </w:rPr>
        <w:t>s</w:t>
      </w:r>
      <w:r w:rsidR="00C5233E" w:rsidRPr="00255861">
        <w:rPr>
          <w:rFonts w:cs="Times New Roman"/>
          <w:szCs w:val="24"/>
          <w:lang w:val="fr-CA"/>
        </w:rPr>
        <w:t xml:space="preserve"> citoyens e</w:t>
      </w:r>
      <w:r w:rsidR="0075632D" w:rsidRPr="00255861">
        <w:rPr>
          <w:rFonts w:cs="Times New Roman"/>
          <w:szCs w:val="24"/>
          <w:lang w:val="fr-CA"/>
        </w:rPr>
        <w:t xml:space="preserve">n </w:t>
      </w:r>
      <w:r w:rsidRPr="00255861">
        <w:rPr>
          <w:rFonts w:cs="Times New Roman"/>
          <w:szCs w:val="24"/>
          <w:lang w:val="fr-CA"/>
        </w:rPr>
        <w:t xml:space="preserve">matière </w:t>
      </w:r>
      <w:r w:rsidR="0075632D" w:rsidRPr="00255861">
        <w:rPr>
          <w:rFonts w:cs="Times New Roman"/>
          <w:szCs w:val="24"/>
          <w:lang w:val="fr-CA"/>
        </w:rPr>
        <w:t xml:space="preserve">constitutionnelle dans les pays </w:t>
      </w:r>
      <w:r w:rsidRPr="00255861">
        <w:rPr>
          <w:rFonts w:cs="Times New Roman"/>
          <w:szCs w:val="24"/>
          <w:lang w:val="fr-CA"/>
        </w:rPr>
        <w:t xml:space="preserve">de common law </w:t>
      </w:r>
      <w:r w:rsidR="00C5233E" w:rsidRPr="00255861">
        <w:rPr>
          <w:rFonts w:cs="Times New Roman"/>
          <w:szCs w:val="24"/>
          <w:lang w:val="fr-CA"/>
        </w:rPr>
        <w:t xml:space="preserve">et ceux du </w:t>
      </w:r>
      <w:r w:rsidRPr="00255861">
        <w:rPr>
          <w:rFonts w:cs="Times New Roman"/>
          <w:szCs w:val="24"/>
          <w:lang w:val="fr-CA"/>
        </w:rPr>
        <w:t xml:space="preserve">continent </w:t>
      </w:r>
      <w:r w:rsidR="00C5233E" w:rsidRPr="00255861">
        <w:rPr>
          <w:rFonts w:cs="Times New Roman"/>
          <w:szCs w:val="24"/>
          <w:lang w:val="fr-CA"/>
        </w:rPr>
        <w:t xml:space="preserve">européen. À l’été, j’étais à Vilnius </w:t>
      </w:r>
      <w:r w:rsidR="00142CF4" w:rsidRPr="00255861">
        <w:rPr>
          <w:rFonts w:cs="Times New Roman"/>
          <w:szCs w:val="24"/>
          <w:lang w:val="fr-CA"/>
        </w:rPr>
        <w:t xml:space="preserve">en Lituanie </w:t>
      </w:r>
      <w:r w:rsidR="00C5233E" w:rsidRPr="00255861">
        <w:rPr>
          <w:rFonts w:cs="Times New Roman"/>
          <w:szCs w:val="24"/>
          <w:lang w:val="fr-CA"/>
        </w:rPr>
        <w:t>pour présenter la vision canadienne</w:t>
      </w:r>
      <w:r w:rsidR="00FA5327" w:rsidRPr="00255861">
        <w:rPr>
          <w:rFonts w:cs="Times New Roman"/>
          <w:szCs w:val="24"/>
          <w:lang w:val="fr-CA"/>
        </w:rPr>
        <w:t>,</w:t>
      </w:r>
      <w:r w:rsidR="00C5233E" w:rsidRPr="00255861">
        <w:rPr>
          <w:rFonts w:cs="Times New Roman"/>
          <w:szCs w:val="24"/>
          <w:lang w:val="fr-CA"/>
        </w:rPr>
        <w:t xml:space="preserve"> </w:t>
      </w:r>
      <w:r w:rsidR="00142CF4" w:rsidRPr="00255861">
        <w:rPr>
          <w:rFonts w:cs="Times New Roman"/>
          <w:szCs w:val="24"/>
          <w:lang w:val="fr-CA"/>
        </w:rPr>
        <w:t>à tout le moins ma vision</w:t>
      </w:r>
      <w:r w:rsidR="00F72C4F" w:rsidRPr="00255861">
        <w:rPr>
          <w:rFonts w:cs="Times New Roman"/>
          <w:szCs w:val="24"/>
          <w:lang w:val="fr-CA"/>
        </w:rPr>
        <w:t>,</w:t>
      </w:r>
      <w:r w:rsidR="00142CF4" w:rsidRPr="00255861">
        <w:rPr>
          <w:rFonts w:cs="Times New Roman"/>
          <w:szCs w:val="24"/>
          <w:lang w:val="fr-CA"/>
        </w:rPr>
        <w:t xml:space="preserve"> </w:t>
      </w:r>
      <w:r w:rsidR="00C5233E" w:rsidRPr="00255861">
        <w:rPr>
          <w:rFonts w:cs="Times New Roman"/>
          <w:szCs w:val="24"/>
          <w:lang w:val="fr-CA"/>
        </w:rPr>
        <w:t>de l’indépendance judiciaire</w:t>
      </w:r>
      <w:r w:rsidRPr="00255861">
        <w:rPr>
          <w:rFonts w:cs="Times New Roman"/>
          <w:szCs w:val="24"/>
          <w:lang w:val="fr-CA"/>
        </w:rPr>
        <w:t xml:space="preserve"> à plus d’une centaine de </w:t>
      </w:r>
      <w:r w:rsidR="00142CF4" w:rsidRPr="00255861">
        <w:rPr>
          <w:rFonts w:cs="Times New Roman"/>
          <w:szCs w:val="24"/>
          <w:lang w:val="fr-CA"/>
        </w:rPr>
        <w:t xml:space="preserve">représentants, la plupart des juges en chef, de </w:t>
      </w:r>
      <w:r w:rsidRPr="00255861">
        <w:rPr>
          <w:rFonts w:cs="Times New Roman"/>
          <w:szCs w:val="24"/>
          <w:lang w:val="fr-CA"/>
        </w:rPr>
        <w:t xml:space="preserve">Cours constitutionnelles dont certaines malheureusement </w:t>
      </w:r>
      <w:r w:rsidR="00B6040E" w:rsidRPr="00255861">
        <w:rPr>
          <w:rFonts w:cs="Times New Roman"/>
          <w:szCs w:val="24"/>
          <w:lang w:val="fr-CA"/>
        </w:rPr>
        <w:t>ont encore peine</w:t>
      </w:r>
      <w:r w:rsidR="00AB3F0C" w:rsidRPr="00255861">
        <w:rPr>
          <w:rFonts w:cs="Times New Roman"/>
          <w:szCs w:val="24"/>
          <w:lang w:val="fr-CA"/>
        </w:rPr>
        <w:t xml:space="preserve"> à </w:t>
      </w:r>
      <w:r w:rsidR="00B6040E" w:rsidRPr="00255861">
        <w:rPr>
          <w:rFonts w:cs="Times New Roman"/>
          <w:szCs w:val="24"/>
          <w:lang w:val="fr-CA"/>
        </w:rPr>
        <w:t xml:space="preserve">identifier les contours du </w:t>
      </w:r>
      <w:r w:rsidR="00AB3F0C" w:rsidRPr="00255861">
        <w:rPr>
          <w:rFonts w:cs="Times New Roman"/>
          <w:szCs w:val="24"/>
          <w:lang w:val="fr-CA"/>
        </w:rPr>
        <w:t>concept</w:t>
      </w:r>
      <w:r w:rsidR="00C5233E" w:rsidRPr="00255861">
        <w:rPr>
          <w:rFonts w:cs="Times New Roman"/>
          <w:szCs w:val="24"/>
          <w:lang w:val="fr-CA"/>
        </w:rPr>
        <w:t xml:space="preserve">. </w:t>
      </w:r>
      <w:r w:rsidR="00AB3F0C" w:rsidRPr="00255861">
        <w:rPr>
          <w:rFonts w:cs="Times New Roman"/>
          <w:szCs w:val="24"/>
          <w:lang w:val="fr-CA"/>
        </w:rPr>
        <w:t>E</w:t>
      </w:r>
      <w:r w:rsidR="00C5233E" w:rsidRPr="00255861">
        <w:rPr>
          <w:rFonts w:cs="Times New Roman"/>
          <w:szCs w:val="24"/>
          <w:lang w:val="fr-CA"/>
        </w:rPr>
        <w:t xml:space="preserve">t au fil des ans, je suis devenu profondément convaincu, </w:t>
      </w:r>
      <w:r w:rsidR="00C5233E" w:rsidRPr="00255861">
        <w:rPr>
          <w:rFonts w:cs="Times New Roman"/>
          <w:szCs w:val="24"/>
          <w:lang w:val="fr-CA"/>
        </w:rPr>
        <w:lastRenderedPageBreak/>
        <w:t>que l</w:t>
      </w:r>
      <w:r w:rsidR="00B6040E" w:rsidRPr="00255861">
        <w:rPr>
          <w:rFonts w:cs="Times New Roman"/>
          <w:szCs w:val="24"/>
          <w:lang w:val="fr-CA"/>
        </w:rPr>
        <w:t xml:space="preserve">a </w:t>
      </w:r>
      <w:r w:rsidR="00C5233E" w:rsidRPr="00255861">
        <w:rPr>
          <w:rFonts w:cs="Times New Roman"/>
          <w:szCs w:val="24"/>
          <w:lang w:val="fr-CA"/>
        </w:rPr>
        <w:t>ma</w:t>
      </w:r>
      <w:r w:rsidR="00AB3F0C" w:rsidRPr="00255861">
        <w:rPr>
          <w:rFonts w:cs="Times New Roman"/>
          <w:szCs w:val="24"/>
          <w:lang w:val="fr-CA"/>
        </w:rPr>
        <w:t>r</w:t>
      </w:r>
      <w:r w:rsidR="00C5233E" w:rsidRPr="00255861">
        <w:rPr>
          <w:rFonts w:cs="Times New Roman"/>
          <w:szCs w:val="24"/>
          <w:lang w:val="fr-CA"/>
        </w:rPr>
        <w:t xml:space="preserve">que de commerce du Canada (Parlement, tribunaux, institutions) </w:t>
      </w:r>
      <w:r w:rsidR="00AB3F0C" w:rsidRPr="00255861">
        <w:rPr>
          <w:rFonts w:cs="Times New Roman"/>
          <w:szCs w:val="24"/>
          <w:lang w:val="fr-CA"/>
        </w:rPr>
        <w:t>est devenue la règl</w:t>
      </w:r>
      <w:r w:rsidR="00B6040E" w:rsidRPr="00255861">
        <w:rPr>
          <w:rFonts w:cs="Times New Roman"/>
          <w:szCs w:val="24"/>
          <w:lang w:val="fr-CA"/>
        </w:rPr>
        <w:t>e</w:t>
      </w:r>
      <w:r w:rsidR="00C5233E" w:rsidRPr="00255861">
        <w:rPr>
          <w:rFonts w:cs="Times New Roman"/>
          <w:szCs w:val="24"/>
          <w:lang w:val="fr-CA"/>
        </w:rPr>
        <w:t xml:space="preserve"> </w:t>
      </w:r>
      <w:r w:rsidR="00142CF4" w:rsidRPr="00255861">
        <w:rPr>
          <w:rFonts w:cs="Times New Roman"/>
          <w:szCs w:val="24"/>
          <w:lang w:val="fr-CA"/>
        </w:rPr>
        <w:t>d</w:t>
      </w:r>
      <w:r w:rsidR="00255861" w:rsidRPr="00255861">
        <w:rPr>
          <w:rFonts w:cs="Times New Roman"/>
          <w:szCs w:val="24"/>
          <w:lang w:val="fr-CA"/>
        </w:rPr>
        <w:t>e</w:t>
      </w:r>
      <w:r w:rsidR="00255861">
        <w:rPr>
          <w:rFonts w:cs="Times New Roman"/>
          <w:szCs w:val="24"/>
          <w:lang w:val="fr-CA"/>
        </w:rPr>
        <w:t xml:space="preserve"> </w:t>
      </w:r>
      <w:r w:rsidR="00255861" w:rsidRPr="00255861">
        <w:rPr>
          <w:rFonts w:cs="Times New Roman"/>
          <w:szCs w:val="24"/>
          <w:lang w:val="fr-CA"/>
        </w:rPr>
        <w:t>d</w:t>
      </w:r>
      <w:r w:rsidR="00C5233E" w:rsidRPr="00255861">
        <w:rPr>
          <w:rFonts w:cs="Times New Roman"/>
          <w:szCs w:val="24"/>
          <w:lang w:val="fr-CA"/>
        </w:rPr>
        <w:t>roit ou « the rule of law » surtout quand on se compare avec</w:t>
      </w:r>
      <w:r w:rsidR="00214920">
        <w:rPr>
          <w:rFonts w:cs="Times New Roman"/>
          <w:szCs w:val="24"/>
          <w:lang w:val="fr-CA"/>
        </w:rPr>
        <w:t xml:space="preserve"> l’</w:t>
      </w:r>
      <w:r w:rsidR="00DA7748" w:rsidRPr="00255861">
        <w:rPr>
          <w:rFonts w:cs="Times New Roman"/>
          <w:szCs w:val="24"/>
          <w:lang w:val="fr-CA"/>
        </w:rPr>
        <w:t>Europe</w:t>
      </w:r>
      <w:r w:rsidR="00FA5327" w:rsidRPr="00255861">
        <w:rPr>
          <w:rFonts w:cs="Times New Roman"/>
          <w:szCs w:val="24"/>
          <w:lang w:val="fr-CA"/>
        </w:rPr>
        <w:t xml:space="preserve">, </w:t>
      </w:r>
      <w:r w:rsidR="00214920">
        <w:rPr>
          <w:rFonts w:cs="Times New Roman"/>
          <w:szCs w:val="24"/>
          <w:lang w:val="fr-CA"/>
        </w:rPr>
        <w:t>l’</w:t>
      </w:r>
      <w:r w:rsidR="00FA5327" w:rsidRPr="00255861">
        <w:rPr>
          <w:rFonts w:cs="Times New Roman"/>
          <w:szCs w:val="24"/>
          <w:lang w:val="fr-CA"/>
        </w:rPr>
        <w:t xml:space="preserve">Asie et </w:t>
      </w:r>
      <w:r w:rsidR="00214920">
        <w:rPr>
          <w:rFonts w:cs="Times New Roman"/>
          <w:szCs w:val="24"/>
          <w:lang w:val="fr-CA"/>
        </w:rPr>
        <w:t>l’</w:t>
      </w:r>
      <w:r w:rsidR="00FA5327" w:rsidRPr="00255861">
        <w:rPr>
          <w:rFonts w:cs="Times New Roman"/>
          <w:szCs w:val="24"/>
          <w:lang w:val="fr-CA"/>
        </w:rPr>
        <w:t>Afrique</w:t>
      </w:r>
      <w:r w:rsidR="00DA7748" w:rsidRPr="00255861">
        <w:rPr>
          <w:rFonts w:cs="Times New Roman"/>
          <w:szCs w:val="24"/>
          <w:lang w:val="fr-CA"/>
        </w:rPr>
        <w:t xml:space="preserve"> et </w:t>
      </w:r>
      <w:r w:rsidR="00AB3F0C" w:rsidRPr="00255861">
        <w:rPr>
          <w:rFonts w:cs="Times New Roman"/>
          <w:szCs w:val="24"/>
          <w:lang w:val="fr-CA"/>
        </w:rPr>
        <w:t xml:space="preserve">même </w:t>
      </w:r>
      <w:r w:rsidR="00142CF4" w:rsidRPr="00255861">
        <w:rPr>
          <w:rFonts w:cs="Times New Roman"/>
          <w:szCs w:val="24"/>
          <w:lang w:val="fr-CA"/>
        </w:rPr>
        <w:t xml:space="preserve">plus </w:t>
      </w:r>
      <w:r w:rsidR="00AB3F0C" w:rsidRPr="00255861">
        <w:rPr>
          <w:rFonts w:cs="Times New Roman"/>
          <w:szCs w:val="24"/>
          <w:lang w:val="fr-CA"/>
        </w:rPr>
        <w:t xml:space="preserve">récemment </w:t>
      </w:r>
      <w:r w:rsidR="00142CF4" w:rsidRPr="00255861">
        <w:rPr>
          <w:rFonts w:cs="Times New Roman"/>
          <w:szCs w:val="24"/>
          <w:lang w:val="fr-CA"/>
        </w:rPr>
        <w:t xml:space="preserve">avec </w:t>
      </w:r>
      <w:r w:rsidR="00FA5327" w:rsidRPr="00255861">
        <w:rPr>
          <w:rFonts w:cs="Times New Roman"/>
          <w:szCs w:val="24"/>
          <w:lang w:val="fr-CA"/>
        </w:rPr>
        <w:t xml:space="preserve">les évènements </w:t>
      </w:r>
      <w:r w:rsidR="00214920">
        <w:rPr>
          <w:rFonts w:cs="Times New Roman"/>
          <w:szCs w:val="24"/>
          <w:lang w:val="fr-CA"/>
        </w:rPr>
        <w:t xml:space="preserve">déconcertants </w:t>
      </w:r>
      <w:r w:rsidR="00142CF4" w:rsidRPr="00255861">
        <w:rPr>
          <w:rFonts w:cs="Times New Roman"/>
          <w:szCs w:val="24"/>
          <w:lang w:val="fr-CA"/>
        </w:rPr>
        <w:t xml:space="preserve">qui se </w:t>
      </w:r>
      <w:r w:rsidR="00FA5327" w:rsidRPr="00255861">
        <w:rPr>
          <w:rFonts w:cs="Times New Roman"/>
          <w:szCs w:val="24"/>
          <w:lang w:val="fr-CA"/>
        </w:rPr>
        <w:t>déroulent</w:t>
      </w:r>
      <w:r w:rsidR="00142CF4" w:rsidRPr="00255861">
        <w:rPr>
          <w:rFonts w:cs="Times New Roman"/>
          <w:szCs w:val="24"/>
          <w:lang w:val="fr-CA"/>
        </w:rPr>
        <w:t xml:space="preserve"> </w:t>
      </w:r>
      <w:r w:rsidR="00DA7748" w:rsidRPr="00255861">
        <w:rPr>
          <w:rFonts w:cs="Times New Roman"/>
          <w:szCs w:val="24"/>
          <w:lang w:val="fr-CA"/>
        </w:rPr>
        <w:t xml:space="preserve">au sud de nos frontières. </w:t>
      </w:r>
      <w:r w:rsidR="00FA5327" w:rsidRPr="00255861">
        <w:rPr>
          <w:rFonts w:cs="Times New Roman"/>
          <w:szCs w:val="24"/>
          <w:lang w:val="fr-CA"/>
        </w:rPr>
        <w:t>J</w:t>
      </w:r>
      <w:r w:rsidR="00142CF4" w:rsidRPr="00255861">
        <w:rPr>
          <w:rFonts w:cs="Times New Roman"/>
          <w:szCs w:val="24"/>
          <w:lang w:val="fr-CA"/>
        </w:rPr>
        <w:t xml:space="preserve">e pense que l’on devrait continuer à bâtir sur cette prémisse. </w:t>
      </w:r>
    </w:p>
    <w:p w:rsidR="00DA7748" w:rsidRPr="00255861" w:rsidRDefault="00DA7748" w:rsidP="00C072D1">
      <w:pPr>
        <w:pStyle w:val="ParaNoNdepar-AltN"/>
        <w:keepNext/>
        <w:spacing w:before="0" w:after="0"/>
        <w:rPr>
          <w:rFonts w:cs="Times New Roman"/>
          <w:szCs w:val="24"/>
          <w:lang w:val="fr-CA"/>
        </w:rPr>
      </w:pPr>
      <w:r w:rsidRPr="00255861">
        <w:rPr>
          <w:rFonts w:cs="Times New Roman"/>
          <w:szCs w:val="24"/>
          <w:lang w:val="fr-CA"/>
        </w:rPr>
        <w:t xml:space="preserve">Durant le dernier siècle et demi, la Constitution </w:t>
      </w:r>
      <w:r w:rsidR="00AB3F0C" w:rsidRPr="00255861">
        <w:rPr>
          <w:rFonts w:cs="Times New Roman"/>
          <w:szCs w:val="24"/>
          <w:lang w:val="fr-CA"/>
        </w:rPr>
        <w:t xml:space="preserve">canadienne </w:t>
      </w:r>
      <w:r w:rsidRPr="00255861">
        <w:rPr>
          <w:rFonts w:cs="Times New Roman"/>
          <w:szCs w:val="24"/>
          <w:lang w:val="fr-CA"/>
        </w:rPr>
        <w:t xml:space="preserve">nous a permis de répondre aux difficiles questions d’identité. Comme je l’ai mentionné au début de mon intervention, au départ, les succès ont été mitigés. L’interprétation de la </w:t>
      </w:r>
      <w:r w:rsidRPr="00255861">
        <w:rPr>
          <w:rFonts w:cs="Times New Roman"/>
          <w:i/>
          <w:szCs w:val="24"/>
          <w:lang w:val="fr-CA"/>
        </w:rPr>
        <w:t>Charte</w:t>
      </w:r>
      <w:r w:rsidRPr="00255861">
        <w:rPr>
          <w:rFonts w:cs="Times New Roman"/>
          <w:szCs w:val="24"/>
          <w:lang w:val="fr-CA"/>
        </w:rPr>
        <w:t xml:space="preserve">, elle aussi, est un chantier actif. Il y a toutefois réellement lieu d’être optimiste pour l’avenir </w:t>
      </w:r>
      <w:r w:rsidR="00AB3F0C" w:rsidRPr="00255861">
        <w:rPr>
          <w:rFonts w:cs="Times New Roman"/>
          <w:szCs w:val="24"/>
          <w:lang w:val="fr-CA"/>
        </w:rPr>
        <w:t xml:space="preserve">sur les </w:t>
      </w:r>
      <w:r w:rsidRPr="00255861">
        <w:rPr>
          <w:rFonts w:cs="Times New Roman"/>
          <w:szCs w:val="24"/>
          <w:lang w:val="fr-CA"/>
        </w:rPr>
        <w:t xml:space="preserve">façons dont l’identité a été incorporée dans nos notions d’égalité, de dignité humaine et de valeurs démocratiques omniprésentes dans la </w:t>
      </w:r>
      <w:r w:rsidRPr="00255861">
        <w:rPr>
          <w:rFonts w:cs="Times New Roman"/>
          <w:i/>
          <w:szCs w:val="24"/>
          <w:lang w:val="fr-CA"/>
        </w:rPr>
        <w:t>Charte</w:t>
      </w:r>
      <w:r w:rsidRPr="00255861">
        <w:rPr>
          <w:rFonts w:cs="Times New Roman"/>
          <w:szCs w:val="24"/>
          <w:lang w:val="fr-CA"/>
        </w:rPr>
        <w:t xml:space="preserve">. Ces notions servent aussi de fondations pour regarder au-delà de nos frontières : nous pouvons accueillir des réfugiés et des migrants en ayant confiance que notre société est en mesure, non seulement de gérer les différences, mais aussi de prospérer grâce à elles. L’égalité substantive assure une protection utile aux aspects de notre identité qui font de nous ceux que nous sommes et qui définissent nos expériences. Elle garantit qu’il ne peut être porté atteinte à ces caractéristiques personnelles et de groupe d’une manière qui compromette notre droit à l’égalité et </w:t>
      </w:r>
      <w:r w:rsidR="00AB3F0C" w:rsidRPr="00255861">
        <w:rPr>
          <w:rFonts w:cs="Times New Roman"/>
          <w:szCs w:val="24"/>
          <w:lang w:val="fr-CA"/>
        </w:rPr>
        <w:t xml:space="preserve">par </w:t>
      </w:r>
      <w:r w:rsidRPr="00255861">
        <w:rPr>
          <w:rFonts w:cs="Times New Roman"/>
          <w:szCs w:val="24"/>
          <w:lang w:val="fr-CA"/>
        </w:rPr>
        <w:t>l</w:t>
      </w:r>
      <w:r w:rsidR="00AB3F0C" w:rsidRPr="00255861">
        <w:rPr>
          <w:rFonts w:cs="Times New Roman"/>
          <w:szCs w:val="24"/>
          <w:lang w:val="fr-CA"/>
        </w:rPr>
        <w:t>à à</w:t>
      </w:r>
      <w:r w:rsidRPr="00255861">
        <w:rPr>
          <w:rFonts w:cs="Times New Roman"/>
          <w:szCs w:val="24"/>
          <w:lang w:val="fr-CA"/>
        </w:rPr>
        <w:t xml:space="preserve"> une participation utile à notre communauté.</w:t>
      </w:r>
    </w:p>
    <w:p w:rsidR="00C072D1" w:rsidRPr="00255861" w:rsidRDefault="00C072D1" w:rsidP="00C072D1">
      <w:pPr>
        <w:pStyle w:val="ParaNoNdepar-AltN"/>
        <w:keepNext/>
        <w:numPr>
          <w:ilvl w:val="0"/>
          <w:numId w:val="0"/>
        </w:numPr>
        <w:spacing w:before="0" w:after="0"/>
        <w:rPr>
          <w:rFonts w:cs="Times New Roman"/>
          <w:szCs w:val="24"/>
          <w:lang w:val="fr-CA"/>
        </w:rPr>
      </w:pPr>
    </w:p>
    <w:p w:rsidR="00DA7748" w:rsidRPr="00255861" w:rsidRDefault="00DA7748" w:rsidP="00C072D1">
      <w:pPr>
        <w:pStyle w:val="ParaNoNdepar-AltN"/>
        <w:keepNext/>
        <w:spacing w:before="0" w:after="0"/>
        <w:rPr>
          <w:rFonts w:cs="Times New Roman"/>
          <w:szCs w:val="24"/>
          <w:lang w:val="fr-CA"/>
        </w:rPr>
      </w:pPr>
      <w:r w:rsidRPr="00255861">
        <w:rPr>
          <w:rFonts w:cs="Times New Roman"/>
          <w:szCs w:val="24"/>
          <w:lang w:val="fr-CA"/>
        </w:rPr>
        <w:t>Je crois fermement qu’en a</w:t>
      </w:r>
      <w:r w:rsidR="00AB3F0C" w:rsidRPr="00255861">
        <w:rPr>
          <w:rFonts w:cs="Times New Roman"/>
          <w:szCs w:val="24"/>
          <w:lang w:val="fr-CA"/>
        </w:rPr>
        <w:t>rrim</w:t>
      </w:r>
      <w:r w:rsidRPr="00255861">
        <w:rPr>
          <w:rFonts w:cs="Times New Roman"/>
          <w:szCs w:val="24"/>
          <w:lang w:val="fr-CA"/>
        </w:rPr>
        <w:t>ant la reconnaissance de l’identité et la notion de dignité</w:t>
      </w:r>
      <w:r w:rsidR="00142CF4" w:rsidRPr="00255861">
        <w:rPr>
          <w:rFonts w:cs="Times New Roman"/>
          <w:szCs w:val="24"/>
          <w:lang w:val="fr-CA"/>
        </w:rPr>
        <w:t xml:space="preserve"> humaine</w:t>
      </w:r>
      <w:r w:rsidRPr="00255861">
        <w:rPr>
          <w:rFonts w:cs="Times New Roman"/>
          <w:szCs w:val="24"/>
          <w:lang w:val="fr-CA"/>
        </w:rPr>
        <w:t xml:space="preserve">, </w:t>
      </w:r>
      <w:r w:rsidR="003A697C" w:rsidRPr="00255861">
        <w:rPr>
          <w:rFonts w:cs="Times New Roman"/>
          <w:szCs w:val="24"/>
          <w:lang w:val="fr-CA"/>
        </w:rPr>
        <w:t xml:space="preserve">on contribue </w:t>
      </w:r>
      <w:r w:rsidR="00AB3F0C" w:rsidRPr="00255861">
        <w:rPr>
          <w:rFonts w:cs="Times New Roman"/>
          <w:szCs w:val="24"/>
          <w:lang w:val="fr-CA"/>
        </w:rPr>
        <w:t xml:space="preserve">ainsi </w:t>
      </w:r>
      <w:r w:rsidR="003A697C" w:rsidRPr="00255861">
        <w:rPr>
          <w:rFonts w:cs="Times New Roman"/>
          <w:szCs w:val="24"/>
          <w:lang w:val="fr-CA"/>
        </w:rPr>
        <w:t xml:space="preserve">à une meilleure participation de tous les citoyens, peu importe leur </w:t>
      </w:r>
      <w:r w:rsidR="00AB3F0C" w:rsidRPr="00255861">
        <w:rPr>
          <w:rFonts w:cs="Times New Roman"/>
          <w:szCs w:val="24"/>
          <w:lang w:val="fr-CA"/>
        </w:rPr>
        <w:t>religion</w:t>
      </w:r>
      <w:r w:rsidR="003A697C" w:rsidRPr="00255861">
        <w:rPr>
          <w:rFonts w:cs="Times New Roman"/>
          <w:szCs w:val="24"/>
          <w:lang w:val="fr-CA"/>
        </w:rPr>
        <w:t xml:space="preserve">, </w:t>
      </w:r>
      <w:r w:rsidR="00AB3F0C" w:rsidRPr="00255861">
        <w:rPr>
          <w:rFonts w:cs="Times New Roman"/>
          <w:szCs w:val="24"/>
          <w:lang w:val="fr-CA"/>
        </w:rPr>
        <w:t xml:space="preserve">leur </w:t>
      </w:r>
      <w:r w:rsidR="003A697C" w:rsidRPr="00255861">
        <w:rPr>
          <w:rFonts w:cs="Times New Roman"/>
          <w:szCs w:val="24"/>
          <w:lang w:val="fr-CA"/>
        </w:rPr>
        <w:t xml:space="preserve">race, </w:t>
      </w:r>
      <w:r w:rsidR="00AB3F0C" w:rsidRPr="00255861">
        <w:rPr>
          <w:rFonts w:cs="Times New Roman"/>
          <w:szCs w:val="24"/>
          <w:lang w:val="fr-CA"/>
        </w:rPr>
        <w:t>leur langue ou leur orientation sexuelle</w:t>
      </w:r>
      <w:r w:rsidR="003A697C" w:rsidRPr="00255861">
        <w:rPr>
          <w:rFonts w:cs="Times New Roman"/>
          <w:szCs w:val="24"/>
          <w:lang w:val="fr-CA"/>
        </w:rPr>
        <w:t xml:space="preserve"> dans les enjeux de société et par le fait même </w:t>
      </w:r>
      <w:r w:rsidR="00AB3F0C" w:rsidRPr="00255861">
        <w:rPr>
          <w:rFonts w:cs="Times New Roman"/>
          <w:szCs w:val="24"/>
          <w:lang w:val="fr-CA"/>
        </w:rPr>
        <w:t xml:space="preserve">à solidifier notre </w:t>
      </w:r>
      <w:r w:rsidR="003A697C" w:rsidRPr="00255861">
        <w:rPr>
          <w:rFonts w:cs="Times New Roman"/>
          <w:szCs w:val="24"/>
          <w:lang w:val="fr-CA"/>
        </w:rPr>
        <w:t>démocratie.</w:t>
      </w:r>
    </w:p>
    <w:p w:rsidR="00C072D1" w:rsidRPr="00255861" w:rsidRDefault="00C072D1" w:rsidP="00C072D1">
      <w:pPr>
        <w:pStyle w:val="ParaNoNdepar-AltN"/>
        <w:keepNext/>
        <w:numPr>
          <w:ilvl w:val="0"/>
          <w:numId w:val="0"/>
        </w:numPr>
        <w:spacing w:before="0" w:after="0"/>
        <w:rPr>
          <w:rFonts w:cs="Times New Roman"/>
          <w:szCs w:val="24"/>
          <w:lang w:val="fr-CA"/>
        </w:rPr>
      </w:pPr>
    </w:p>
    <w:p w:rsidR="00B66E19" w:rsidRPr="00255861" w:rsidRDefault="003A697C" w:rsidP="00C072D1">
      <w:pPr>
        <w:pStyle w:val="ParaNoNdepar-AltN"/>
        <w:spacing w:before="0"/>
        <w:rPr>
          <w:rFonts w:cs="Times New Roman"/>
          <w:szCs w:val="24"/>
          <w:lang w:val="fr-CA"/>
        </w:rPr>
      </w:pPr>
      <w:r w:rsidRPr="00255861">
        <w:rPr>
          <w:rFonts w:cs="Times New Roman"/>
          <w:szCs w:val="24"/>
          <w:lang w:val="fr-CA"/>
        </w:rPr>
        <w:t xml:space="preserve">Merci de votre bienveillante attention. </w:t>
      </w:r>
    </w:p>
    <w:sectPr w:rsidR="00B66E19" w:rsidRPr="00255861" w:rsidSect="00F279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BD" w:rsidRDefault="00812FBD" w:rsidP="0030199A">
      <w:r>
        <w:separator/>
      </w:r>
    </w:p>
  </w:endnote>
  <w:endnote w:type="continuationSeparator" w:id="0">
    <w:p w:rsidR="00812FBD" w:rsidRDefault="00812FBD" w:rsidP="003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C" w:rsidRDefault="00090D0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C" w:rsidRDefault="00090D0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C" w:rsidRDefault="00090D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BD" w:rsidRDefault="00812FBD" w:rsidP="0030199A">
      <w:r>
        <w:separator/>
      </w:r>
    </w:p>
  </w:footnote>
  <w:footnote w:type="continuationSeparator" w:id="0">
    <w:p w:rsidR="00812FBD" w:rsidRDefault="00812FBD" w:rsidP="0030199A">
      <w:r>
        <w:continuationSeparator/>
      </w:r>
    </w:p>
  </w:footnote>
  <w:footnote w:id="1">
    <w:p w:rsidR="00090D0C" w:rsidRPr="00523F2B" w:rsidRDefault="00090D0C" w:rsidP="00523F2B">
      <w:pPr>
        <w:pStyle w:val="Notedebasdepage"/>
        <w:jc w:val="left"/>
        <w:rPr>
          <w:lang w:val="fr-CA"/>
        </w:rPr>
      </w:pPr>
      <w:r>
        <w:rPr>
          <w:rStyle w:val="Appelnotedebasdep"/>
        </w:rPr>
        <w:footnoteRef/>
      </w:r>
      <w:r w:rsidRPr="00523F2B">
        <w:rPr>
          <w:lang w:val="fr-CA"/>
        </w:rPr>
        <w:t xml:space="preserve"> F</w:t>
      </w:r>
      <w:r>
        <w:rPr>
          <w:lang w:val="fr-CA"/>
        </w:rPr>
        <w:t>iche d’un bâtiment, Édifice Ernest Cormier, adresse URL : [</w:t>
      </w:r>
      <w:hyperlink r:id="rId1" w:history="1">
        <w:r w:rsidRPr="00523F2B">
          <w:rPr>
            <w:rStyle w:val="Lienhypertexte"/>
            <w:lang w:val="fr-CA"/>
          </w:rPr>
          <w:t>http://www.vieux.montreal.qc.ca/inventaire/fiches/fiche_bat.php?sec=a&amp;num=18</w:t>
        </w:r>
      </w:hyperlink>
      <w:r w:rsidRPr="00523F2B">
        <w:rPr>
          <w:lang w:val="fr-CA"/>
        </w:rPr>
        <w:t>].</w:t>
      </w:r>
    </w:p>
  </w:footnote>
  <w:footnote w:id="2">
    <w:p w:rsidR="00090D0C" w:rsidRPr="00523F2B" w:rsidRDefault="00090D0C" w:rsidP="0030199A">
      <w:pPr>
        <w:pStyle w:val="Notedebasdepage"/>
        <w:keepNext/>
        <w:keepLines/>
        <w:ind w:right="-450"/>
        <w:jc w:val="left"/>
        <w:rPr>
          <w:lang w:val="fr-CA"/>
        </w:rPr>
      </w:pPr>
      <w:r>
        <w:rPr>
          <w:rStyle w:val="Appelnotedebasdep"/>
        </w:rPr>
        <w:footnoteRef/>
      </w:r>
      <w:r w:rsidRPr="00523F2B">
        <w:rPr>
          <w:lang w:val="fr-CA"/>
        </w:rPr>
        <w:t xml:space="preserve"> </w:t>
      </w:r>
      <w:r>
        <w:rPr>
          <w:lang w:val="fr-CA"/>
        </w:rPr>
        <w:t>Fiche d’un bâtiment, Vieux Palais de Justice de Montréal, adresse URL : [</w:t>
      </w:r>
      <w:hyperlink r:id="rId2" w:history="1">
        <w:r w:rsidRPr="00BD447A">
          <w:rPr>
            <w:rStyle w:val="Lienhypertexte"/>
            <w:lang w:val="fr-CA"/>
          </w:rPr>
          <w:t>http://www.vieux.montreal.qc.ca/inventaire/fiches/fiche_bat.php?id=0040-46-7464-00&amp;mat=0040-46-7464</w:t>
        </w:r>
      </w:hyperlink>
      <w:r>
        <w:rPr>
          <w:lang w:val="fr-CA"/>
        </w:rPr>
        <w:t>].</w:t>
      </w:r>
    </w:p>
  </w:footnote>
  <w:footnote w:id="3">
    <w:p w:rsidR="00090D0C" w:rsidRPr="00BD2BAC" w:rsidRDefault="00090D0C" w:rsidP="00B66E19">
      <w:pPr>
        <w:pStyle w:val="Notedebasdepage"/>
        <w:rPr>
          <w:lang w:val="fr-CA"/>
        </w:rPr>
      </w:pPr>
      <w:r>
        <w:rPr>
          <w:rStyle w:val="Appelnotedebasdep"/>
        </w:rPr>
        <w:footnoteRef/>
      </w:r>
      <w:r w:rsidRPr="00BD2BAC">
        <w:rPr>
          <w:lang w:val="fr-CA"/>
        </w:rPr>
        <w:t xml:space="preserve">  </w:t>
      </w:r>
      <w:r w:rsidRPr="00BD2BAC">
        <w:rPr>
          <w:i/>
          <w:lang w:val="fr-CA"/>
        </w:rPr>
        <w:t>R. c. Powley</w:t>
      </w:r>
      <w:r w:rsidRPr="00BD2BAC">
        <w:rPr>
          <w:lang w:val="fr-CA"/>
        </w:rPr>
        <w:t>, [2003] R.C.S. 207, par. 30-33.</w:t>
      </w:r>
    </w:p>
  </w:footnote>
  <w:footnote w:id="4">
    <w:p w:rsidR="00DC04D0" w:rsidRPr="00D310C2" w:rsidRDefault="00DC04D0" w:rsidP="00DC04D0">
      <w:pPr>
        <w:pStyle w:val="Notedebasdepage"/>
        <w:rPr>
          <w:lang w:val="en-US"/>
        </w:rPr>
      </w:pPr>
      <w:r>
        <w:rPr>
          <w:rStyle w:val="Appelnotedebasdep"/>
        </w:rPr>
        <w:footnoteRef/>
      </w:r>
      <w:r>
        <w:t xml:space="preserve"> </w:t>
      </w:r>
      <w:r w:rsidRPr="00DA2E7A">
        <w:rPr>
          <w:i/>
          <w:lang w:val="en-US"/>
        </w:rPr>
        <w:t>Edwards c. Canada</w:t>
      </w:r>
      <w:r w:rsidRPr="00DA2E7A">
        <w:rPr>
          <w:lang w:val="en-US"/>
        </w:rPr>
        <w:t xml:space="preserve"> </w:t>
      </w:r>
      <w:r w:rsidRPr="00DA2E7A">
        <w:rPr>
          <w:i/>
          <w:lang w:val="en-US"/>
        </w:rPr>
        <w:t>(Procureur général)</w:t>
      </w:r>
      <w:r w:rsidRPr="00DA2E7A">
        <w:rPr>
          <w:lang w:val="en-US"/>
        </w:rPr>
        <w:t>, [1928] R.C.S.</w:t>
      </w:r>
      <w:r>
        <w:rPr>
          <w:lang w:val="en-US"/>
        </w:rPr>
        <w:t> </w:t>
      </w:r>
      <w:r w:rsidRPr="00DA2E7A">
        <w:rPr>
          <w:lang w:val="en-US"/>
        </w:rPr>
        <w:t>276 [</w:t>
      </w:r>
      <w:r w:rsidRPr="00DA2E7A">
        <w:rPr>
          <w:i/>
          <w:lang w:val="en-US"/>
        </w:rPr>
        <w:t>Edwards</w:t>
      </w:r>
      <w:r w:rsidRPr="00DA2E7A">
        <w:rPr>
          <w:lang w:val="en-US"/>
        </w:rPr>
        <w:t xml:space="preserve">], infirmé [1930] A.C. 128 </w:t>
      </w:r>
      <w:r w:rsidRPr="00FA1DF5">
        <w:rPr>
          <w:lang w:val="en-US"/>
        </w:rPr>
        <w:t>(J.C.P.C.);</w:t>
      </w:r>
      <w:r w:rsidRPr="00DA2E7A">
        <w:rPr>
          <w:lang w:val="en-US"/>
        </w:rPr>
        <w:t xml:space="preserve"> l’honorable juge Robert J. Sharpe, « The Persons Case and the Living Tree Theory of Constitutional Interpretation » (2013) 64 </w:t>
      </w:r>
      <w:r w:rsidRPr="00FA1DF5">
        <w:rPr>
          <w:lang w:val="en-US"/>
        </w:rPr>
        <w:t xml:space="preserve">R.D. U.N.-B. </w:t>
      </w:r>
      <w:r w:rsidRPr="00DA2E7A">
        <w:rPr>
          <w:lang w:val="en-US"/>
        </w:rPr>
        <w:t>1.</w:t>
      </w:r>
      <w:r>
        <w:rPr>
          <w:lang w:val="en-US"/>
        </w:rPr>
        <w:t xml:space="preserve"> </w:t>
      </w:r>
    </w:p>
  </w:footnote>
  <w:footnote w:id="5">
    <w:p w:rsidR="00DC04D0" w:rsidRPr="00DA2E7A" w:rsidRDefault="00DC04D0" w:rsidP="00DC04D0">
      <w:pPr>
        <w:pStyle w:val="Notedebasdepage"/>
        <w:rPr>
          <w:lang w:val="fr-CA"/>
        </w:rPr>
      </w:pPr>
      <w:r>
        <w:rPr>
          <w:rStyle w:val="Appelnotedebasdep"/>
        </w:rPr>
        <w:footnoteRef/>
      </w:r>
      <w:r w:rsidRPr="00DA2E7A">
        <w:rPr>
          <w:lang w:val="fr-CA"/>
        </w:rPr>
        <w:t xml:space="preserve"> </w:t>
      </w:r>
      <w:r w:rsidRPr="00DA2E7A">
        <w:rPr>
          <w:i/>
          <w:lang w:val="fr-CA"/>
        </w:rPr>
        <w:t xml:space="preserve">Daniels c. Canada (Ministre des </w:t>
      </w:r>
      <w:r>
        <w:rPr>
          <w:i/>
          <w:lang w:val="fr-CA"/>
        </w:rPr>
        <w:t>A</w:t>
      </w:r>
      <w:r w:rsidRPr="00DA2E7A">
        <w:rPr>
          <w:i/>
          <w:lang w:val="fr-CA"/>
        </w:rPr>
        <w:t>ffaires indiennes et du Nord</w:t>
      </w:r>
      <w:r>
        <w:rPr>
          <w:i/>
          <w:lang w:val="fr-CA"/>
        </w:rPr>
        <w:t xml:space="preserve"> canadien</w:t>
      </w:r>
      <w:r w:rsidRPr="00DA2E7A">
        <w:rPr>
          <w:i/>
          <w:lang w:val="fr-CA"/>
        </w:rPr>
        <w:t>)</w:t>
      </w:r>
      <w:r w:rsidRPr="00DA2E7A">
        <w:rPr>
          <w:lang w:val="fr-CA"/>
        </w:rPr>
        <w:t>, 2016 CSC</w:t>
      </w:r>
      <w:r>
        <w:rPr>
          <w:lang w:val="fr-CA"/>
        </w:rPr>
        <w:t> </w:t>
      </w:r>
      <w:r w:rsidRPr="00DA2E7A">
        <w:rPr>
          <w:lang w:val="fr-CA"/>
        </w:rPr>
        <w:t>12 [</w:t>
      </w:r>
      <w:r w:rsidRPr="00DA2E7A">
        <w:rPr>
          <w:i/>
          <w:lang w:val="fr-CA"/>
        </w:rPr>
        <w:t>Daniels</w:t>
      </w:r>
      <w:r w:rsidRPr="00DA2E7A">
        <w:rPr>
          <w:lang w:val="fr-CA"/>
        </w:rPr>
        <w:t>].</w:t>
      </w:r>
    </w:p>
  </w:footnote>
  <w:footnote w:id="6">
    <w:p w:rsidR="00DC04D0" w:rsidRPr="00BC3E65" w:rsidRDefault="00DC04D0" w:rsidP="00DC04D0">
      <w:pPr>
        <w:pStyle w:val="Notedebasdepage"/>
        <w:rPr>
          <w:lang w:val="fr-CA"/>
        </w:rPr>
      </w:pPr>
      <w:r>
        <w:rPr>
          <w:rStyle w:val="Appelnotedebasdep"/>
        </w:rPr>
        <w:footnoteRef/>
      </w:r>
      <w:r w:rsidRPr="00BC3E65">
        <w:rPr>
          <w:lang w:val="fr-CA"/>
        </w:rPr>
        <w:t xml:space="preserve"> </w:t>
      </w:r>
      <w:r w:rsidRPr="00BC3E65">
        <w:rPr>
          <w:i/>
          <w:lang w:val="fr-CA"/>
        </w:rPr>
        <w:t>Ibid</w:t>
      </w:r>
      <w:r>
        <w:rPr>
          <w:i/>
          <w:lang w:val="fr-CA"/>
        </w:rPr>
        <w:t>.</w:t>
      </w:r>
      <w:r w:rsidRPr="00BC3E65">
        <w:rPr>
          <w:lang w:val="fr-CA"/>
        </w:rPr>
        <w:t>, par. 19.</w:t>
      </w:r>
    </w:p>
  </w:footnote>
  <w:footnote w:id="7">
    <w:p w:rsidR="00DC04D0" w:rsidRPr="00BC3E65" w:rsidRDefault="00DC04D0" w:rsidP="00DC04D0">
      <w:pPr>
        <w:pStyle w:val="Notedebasdepage"/>
        <w:rPr>
          <w:lang w:val="fr-CA"/>
        </w:rPr>
      </w:pPr>
      <w:r>
        <w:rPr>
          <w:rStyle w:val="Appelnotedebasdep"/>
        </w:rPr>
        <w:footnoteRef/>
      </w:r>
      <w:r w:rsidRPr="00BC3E65">
        <w:rPr>
          <w:lang w:val="fr-CA"/>
        </w:rPr>
        <w:t xml:space="preserve"> </w:t>
      </w:r>
      <w:r w:rsidRPr="00BC3E65">
        <w:rPr>
          <w:i/>
          <w:lang w:val="fr-CA"/>
        </w:rPr>
        <w:t>Ibid</w:t>
      </w:r>
      <w:r>
        <w:rPr>
          <w:i/>
          <w:lang w:val="fr-CA"/>
        </w:rPr>
        <w:t>.</w:t>
      </w:r>
      <w:r w:rsidRPr="00BC3E65">
        <w:rPr>
          <w:lang w:val="fr-CA"/>
        </w:rPr>
        <w:t>, par. 19.</w:t>
      </w:r>
    </w:p>
  </w:footnote>
  <w:footnote w:id="8">
    <w:p w:rsidR="00DC04D0" w:rsidRPr="00BC3E65" w:rsidRDefault="00DC04D0" w:rsidP="00DC04D0">
      <w:pPr>
        <w:pStyle w:val="Notedebasdepage"/>
        <w:rPr>
          <w:lang w:val="fr-CA"/>
        </w:rPr>
      </w:pPr>
      <w:r>
        <w:rPr>
          <w:rStyle w:val="Appelnotedebasdep"/>
        </w:rPr>
        <w:footnoteRef/>
      </w:r>
      <w:r w:rsidRPr="00BC3E65">
        <w:rPr>
          <w:lang w:val="fr-CA"/>
        </w:rPr>
        <w:t xml:space="preserve"> </w:t>
      </w:r>
      <w:r w:rsidRPr="00BC3E65">
        <w:rPr>
          <w:i/>
          <w:lang w:val="fr-CA"/>
        </w:rPr>
        <w:t>Ibid</w:t>
      </w:r>
      <w:r w:rsidRPr="00BC3E65">
        <w:rPr>
          <w:lang w:val="fr-CA"/>
        </w:rPr>
        <w:t>,</w:t>
      </w:r>
      <w:r>
        <w:rPr>
          <w:lang w:val="fr-CA"/>
        </w:rPr>
        <w:t>,</w:t>
      </w:r>
      <w:r w:rsidRPr="00BC3E65">
        <w:rPr>
          <w:lang w:val="fr-CA"/>
        </w:rPr>
        <w:t xml:space="preserve"> par. 1.</w:t>
      </w:r>
    </w:p>
  </w:footnote>
  <w:footnote w:id="9">
    <w:p w:rsidR="00DC04D0" w:rsidRPr="00214920" w:rsidRDefault="00DC04D0" w:rsidP="00DC04D0">
      <w:pPr>
        <w:pStyle w:val="Notedebasdepage"/>
        <w:rPr>
          <w:lang w:val="fr-CA"/>
        </w:rPr>
      </w:pPr>
      <w:r>
        <w:rPr>
          <w:rStyle w:val="Appelnotedebasdep"/>
        </w:rPr>
        <w:footnoteRef/>
      </w:r>
      <w:r w:rsidRPr="00214920">
        <w:rPr>
          <w:lang w:val="fr-CA"/>
        </w:rPr>
        <w:t xml:space="preserve"> [1953] 2 R.C.S. 299.</w:t>
      </w:r>
    </w:p>
  </w:footnote>
  <w:footnote w:id="10">
    <w:p w:rsidR="00DC04D0" w:rsidRPr="00375100" w:rsidRDefault="00DC04D0" w:rsidP="00DC04D0">
      <w:pPr>
        <w:pStyle w:val="Notedebasdepage"/>
        <w:rPr>
          <w:lang w:val="en-US"/>
        </w:rPr>
      </w:pPr>
      <w:r>
        <w:rPr>
          <w:rStyle w:val="Appelnotedebasdep"/>
        </w:rPr>
        <w:footnoteRef/>
      </w:r>
      <w:r w:rsidRPr="00375100">
        <w:rPr>
          <w:lang w:val="en-US"/>
        </w:rPr>
        <w:t xml:space="preserve"> [1959] R.C.S. 121.</w:t>
      </w:r>
    </w:p>
  </w:footnote>
  <w:footnote w:id="11">
    <w:p w:rsidR="00DC04D0" w:rsidRPr="007D5D41" w:rsidRDefault="00DC04D0" w:rsidP="00DC04D0">
      <w:pPr>
        <w:pStyle w:val="Notedebasdepage"/>
      </w:pPr>
      <w:r>
        <w:rPr>
          <w:rStyle w:val="Appelnotedebasdep"/>
        </w:rPr>
        <w:footnoteRef/>
      </w:r>
      <w:r w:rsidRPr="00DA2E7A">
        <w:rPr>
          <w:lang w:val="en-US"/>
        </w:rPr>
        <w:t xml:space="preserve"> Voir</w:t>
      </w:r>
      <w:r>
        <w:rPr>
          <w:lang w:val="en-US"/>
        </w:rPr>
        <w:t>,</w:t>
      </w:r>
      <w:r w:rsidRPr="00DA2E7A">
        <w:rPr>
          <w:lang w:val="en-US"/>
        </w:rPr>
        <w:t xml:space="preserve"> par. ex.</w:t>
      </w:r>
      <w:r>
        <w:rPr>
          <w:lang w:val="en-US"/>
        </w:rPr>
        <w:t>,</w:t>
      </w:r>
      <w:r w:rsidRPr="00DA2E7A">
        <w:rPr>
          <w:lang w:val="en-US"/>
        </w:rPr>
        <w:t xml:space="preserve"> l’honorable juge Ian Binnie, « Judging the Judges: </w:t>
      </w:r>
      <w:r w:rsidRPr="007D5D41">
        <w:t>‘May They Boldly Go Where Ivan Rand Went Before’</w:t>
      </w:r>
      <w:r>
        <w:t> »</w:t>
      </w:r>
      <w:r w:rsidRPr="007D5D41">
        <w:t xml:space="preserve"> (2013) 26 Can. J. L. &amp; Jurisprudence</w:t>
      </w:r>
      <w:r>
        <w:t> </w:t>
      </w:r>
      <w:r w:rsidRPr="007D5D41">
        <w:t>5</w:t>
      </w:r>
      <w:r>
        <w:t>,</w:t>
      </w:r>
      <w:r w:rsidRPr="007D5D41">
        <w:t xml:space="preserve"> p.</w:t>
      </w:r>
      <w:r>
        <w:t> </w:t>
      </w:r>
      <w:r w:rsidRPr="007D5D41">
        <w:t>6.</w:t>
      </w:r>
    </w:p>
    <w:p w:rsidR="00DC04D0" w:rsidRPr="007D5D41" w:rsidRDefault="00DC04D0" w:rsidP="00DC04D0">
      <w:pPr>
        <w:pStyle w:val="Notedebasdepage"/>
        <w:ind w:left="0" w:firstLine="0"/>
      </w:pPr>
    </w:p>
  </w:footnote>
  <w:footnote w:id="12">
    <w:p w:rsidR="00DC04D0" w:rsidRPr="00BC3E65" w:rsidRDefault="00DC04D0" w:rsidP="00DC04D0">
      <w:pPr>
        <w:pStyle w:val="Notedebasdepage"/>
        <w:rPr>
          <w:lang w:val="fr-CA"/>
        </w:rPr>
      </w:pPr>
      <w:r>
        <w:rPr>
          <w:rStyle w:val="Appelnotedebasdep"/>
        </w:rPr>
        <w:footnoteRef/>
      </w:r>
      <w:r w:rsidRPr="00BC3E65">
        <w:rPr>
          <w:lang w:val="fr-CA"/>
        </w:rPr>
        <w:t xml:space="preserve"> </w:t>
      </w:r>
      <w:r w:rsidRPr="00BC3E65">
        <w:rPr>
          <w:i/>
          <w:iCs/>
          <w:lang w:val="fr-CA"/>
        </w:rPr>
        <w:t>Vriend c. Alberta</w:t>
      </w:r>
      <w:r w:rsidRPr="00BC3E65">
        <w:rPr>
          <w:iCs/>
          <w:lang w:val="fr-CA"/>
        </w:rPr>
        <w:t>, [1998] 1 R.C.S.</w:t>
      </w:r>
      <w:r>
        <w:rPr>
          <w:iCs/>
          <w:lang w:val="fr-CA"/>
        </w:rPr>
        <w:t> </w:t>
      </w:r>
      <w:r w:rsidRPr="00BC3E65">
        <w:rPr>
          <w:iCs/>
          <w:lang w:val="fr-CA"/>
        </w:rPr>
        <w:t>493,</w:t>
      </w:r>
      <w:r w:rsidRPr="00BC3E65">
        <w:rPr>
          <w:i/>
          <w:iCs/>
          <w:lang w:val="fr-CA"/>
        </w:rPr>
        <w:t xml:space="preserve"> </w:t>
      </w:r>
      <w:r w:rsidRPr="00BC3E65">
        <w:rPr>
          <w:lang w:val="fr-CA"/>
        </w:rPr>
        <w:t>par. 142, les juges Cory et Iacobucci [</w:t>
      </w:r>
      <w:r w:rsidRPr="00BC3E65">
        <w:rPr>
          <w:i/>
          <w:lang w:val="fr-CA"/>
        </w:rPr>
        <w:t>Vriend</w:t>
      </w:r>
      <w:r w:rsidRPr="00BC3E65">
        <w:rPr>
          <w:lang w:val="fr-CA"/>
        </w:rPr>
        <w:t>].</w:t>
      </w:r>
    </w:p>
  </w:footnote>
  <w:footnote w:id="13">
    <w:p w:rsidR="00090D0C" w:rsidRPr="0074709A" w:rsidRDefault="00090D0C" w:rsidP="00B66E19">
      <w:pPr>
        <w:pStyle w:val="Notedebasdepage"/>
        <w:rPr>
          <w:lang w:val="fr-CA"/>
        </w:rPr>
      </w:pPr>
      <w:r>
        <w:rPr>
          <w:rStyle w:val="Appelnotedebasdep"/>
        </w:rPr>
        <w:footnoteRef/>
      </w:r>
      <w:r w:rsidRPr="0074709A">
        <w:rPr>
          <w:lang w:val="fr-CA"/>
        </w:rPr>
        <w:t xml:space="preserve"> </w:t>
      </w:r>
      <w:r w:rsidR="00490DCE">
        <w:rPr>
          <w:lang w:val="fr-CA"/>
        </w:rPr>
        <w:t xml:space="preserve"> </w:t>
      </w:r>
      <w:r w:rsidRPr="0074709A">
        <w:rPr>
          <w:i/>
          <w:iCs/>
          <w:lang w:val="fr-CA"/>
        </w:rPr>
        <w:t>Bliss c. P.G. Can.</w:t>
      </w:r>
      <w:r w:rsidRPr="0074709A">
        <w:rPr>
          <w:lang w:val="fr-CA"/>
        </w:rPr>
        <w:t xml:space="preserve">, [1979] 1 R.C.S. 183; pour les discussions ultérieures sur la question, voir </w:t>
      </w:r>
      <w:r w:rsidRPr="0074709A">
        <w:rPr>
          <w:i/>
          <w:lang w:val="fr-CA"/>
        </w:rPr>
        <w:t>Brooks c. Canada Safeway Ltd.</w:t>
      </w:r>
      <w:r w:rsidRPr="0074709A">
        <w:rPr>
          <w:lang w:val="fr-CA"/>
        </w:rPr>
        <w:t xml:space="preserve">, [1989] 1 R.C.S. 1219; </w:t>
      </w:r>
      <w:r w:rsidRPr="0074709A">
        <w:rPr>
          <w:i/>
          <w:iCs/>
          <w:lang w:val="fr-CA"/>
        </w:rPr>
        <w:t>Vriend c. Alberta</w:t>
      </w:r>
      <w:r w:rsidRPr="0074709A">
        <w:rPr>
          <w:iCs/>
          <w:lang w:val="fr-CA"/>
        </w:rPr>
        <w:t>, [1998] 1 R.C.S. 493</w:t>
      </w:r>
      <w:r w:rsidRPr="0074709A">
        <w:rPr>
          <w:lang w:val="fr-CA"/>
        </w:rPr>
        <w:t xml:space="preserve">, par. 85; </w:t>
      </w:r>
      <w:r w:rsidRPr="0074709A">
        <w:rPr>
          <w:i/>
          <w:lang w:val="fr-CA"/>
        </w:rPr>
        <w:t>Andrews c. Law Society of British Columbia</w:t>
      </w:r>
      <w:r w:rsidRPr="0074709A">
        <w:rPr>
          <w:lang w:val="fr-CA"/>
        </w:rPr>
        <w:t>, [1989] 1 R.C.S. 143, p. 167 [</w:t>
      </w:r>
      <w:r w:rsidRPr="0074709A">
        <w:rPr>
          <w:i/>
          <w:lang w:val="fr-CA"/>
        </w:rPr>
        <w:t>Andrews</w:t>
      </w:r>
      <w:r w:rsidRPr="0074709A">
        <w:rPr>
          <w:lang w:val="fr-CA"/>
        </w:rPr>
        <w:t>].</w:t>
      </w:r>
    </w:p>
  </w:footnote>
  <w:footnote w:id="14">
    <w:p w:rsidR="00090D0C" w:rsidRDefault="00090D0C" w:rsidP="00B66E19">
      <w:pPr>
        <w:pStyle w:val="Notedebasdepage"/>
        <w:rPr>
          <w:lang w:val="en-US"/>
        </w:rPr>
      </w:pPr>
      <w:r>
        <w:rPr>
          <w:rStyle w:val="Appelnotedebasdep"/>
        </w:rPr>
        <w:footnoteRef/>
      </w:r>
      <w:r>
        <w:t xml:space="preserve"> </w:t>
      </w:r>
      <w:r>
        <w:rPr>
          <w:i/>
        </w:rPr>
        <w:t>Eaton</w:t>
      </w:r>
      <w:r>
        <w:t xml:space="preserve"> </w:t>
      </w:r>
      <w:r w:rsidRPr="00BD2BAC">
        <w:rPr>
          <w:i/>
        </w:rPr>
        <w:t>c</w:t>
      </w:r>
      <w:r>
        <w:rPr>
          <w:i/>
        </w:rPr>
        <w:t>. Brant (County) Board of Education</w:t>
      </w:r>
      <w:r>
        <w:t xml:space="preserve">, [1997] 1 R.C.S. 241, par. 67. </w:t>
      </w:r>
    </w:p>
  </w:footnote>
  <w:footnote w:id="15">
    <w:p w:rsidR="00090D0C" w:rsidRPr="000C1759" w:rsidRDefault="00090D0C" w:rsidP="00B66E19">
      <w:pPr>
        <w:pStyle w:val="Notedebasdepage"/>
        <w:rPr>
          <w:lang w:val="en-US"/>
        </w:rPr>
      </w:pPr>
      <w:r>
        <w:rPr>
          <w:rStyle w:val="Appelnotedebasdep"/>
        </w:rPr>
        <w:footnoteRef/>
      </w:r>
      <w:r w:rsidRPr="000C1759">
        <w:rPr>
          <w:lang w:val="en-US"/>
        </w:rPr>
        <w:t xml:space="preserve"> </w:t>
      </w:r>
      <w:r w:rsidRPr="000C1759">
        <w:rPr>
          <w:i/>
          <w:lang w:val="en-US"/>
        </w:rPr>
        <w:t>Gosselin c. Québec (Procureur général)</w:t>
      </w:r>
      <w:r w:rsidRPr="000C1759">
        <w:rPr>
          <w:lang w:val="en-US"/>
        </w:rPr>
        <w:t>, [2002] 4 R.C.S. 429, par. 32 [</w:t>
      </w:r>
      <w:r w:rsidRPr="000C1759">
        <w:rPr>
          <w:i/>
          <w:lang w:val="en-US"/>
        </w:rPr>
        <w:t>Gosselin</w:t>
      </w:r>
      <w:r w:rsidRPr="000C1759">
        <w:rPr>
          <w:lang w:val="en-US"/>
        </w:rPr>
        <w:t xml:space="preserve">], citant Peter W. Hogg, </w:t>
      </w:r>
      <w:r w:rsidRPr="000C1759">
        <w:rPr>
          <w:i/>
          <w:iCs/>
          <w:lang w:val="en-US"/>
        </w:rPr>
        <w:t>Constitutional Law of Canada</w:t>
      </w:r>
      <w:r w:rsidRPr="000C1759">
        <w:rPr>
          <w:lang w:val="en-US"/>
        </w:rPr>
        <w:t xml:space="preserve"> (feuilles mobiles), vol. 2 (Scarborough, Ont</w:t>
      </w:r>
      <w:r w:rsidR="000C1759" w:rsidRPr="000C1759">
        <w:rPr>
          <w:lang w:val="en-US"/>
        </w:rPr>
        <w:t xml:space="preserve">.: Carswell, 1997), p. 52 à 54 [Hogg, </w:t>
      </w:r>
      <w:r w:rsidR="000C1759" w:rsidRPr="000C1759">
        <w:rPr>
          <w:i/>
          <w:iCs/>
          <w:lang w:val="en-US"/>
        </w:rPr>
        <w:t>Constitutional Law of Canada</w:t>
      </w:r>
      <w:r w:rsidR="000C1759">
        <w:rPr>
          <w:iCs/>
          <w:lang w:val="en-US"/>
        </w:rPr>
        <w:t>].</w:t>
      </w:r>
    </w:p>
  </w:footnote>
  <w:footnote w:id="16">
    <w:p w:rsidR="00090D0C" w:rsidRDefault="00090D0C" w:rsidP="00B66E19">
      <w:pPr>
        <w:pStyle w:val="Notedebasdepage"/>
        <w:rPr>
          <w:lang w:val="en-US"/>
        </w:rPr>
      </w:pPr>
      <w:r>
        <w:rPr>
          <w:rStyle w:val="Appelnotedebasdep"/>
        </w:rPr>
        <w:footnoteRef/>
      </w:r>
      <w:r>
        <w:t xml:space="preserve"> </w:t>
      </w:r>
      <w:r>
        <w:rPr>
          <w:lang w:val="en-US"/>
        </w:rPr>
        <w:t xml:space="preserve">Voir, par ex., Christopher D. Bredt et Adam Dodek, « Breaking the </w:t>
      </w:r>
      <w:r>
        <w:rPr>
          <w:i/>
          <w:lang w:val="en-US"/>
        </w:rPr>
        <w:t>Law’s</w:t>
      </w:r>
      <w:r>
        <w:rPr>
          <w:lang w:val="en-US"/>
        </w:rPr>
        <w:t xml:space="preserve"> Grip on Equality: A New Paradigm for Section 15 » (2003), 20 S.C.L.R. (2d) 33, p. 34; Margot Young, « Social Justice and the </w:t>
      </w:r>
      <w:r>
        <w:rPr>
          <w:i/>
          <w:lang w:val="en-US"/>
        </w:rPr>
        <w:t>Charter</w:t>
      </w:r>
      <w:r>
        <w:rPr>
          <w:lang w:val="en-US"/>
        </w:rPr>
        <w:t xml:space="preserve">: Comparison and Choice » (2013) 50 </w:t>
      </w:r>
      <w:r w:rsidRPr="00BD2BAC">
        <w:rPr>
          <w:i/>
          <w:lang w:val="en-US"/>
        </w:rPr>
        <w:t>Osgoode Hall L.J</w:t>
      </w:r>
      <w:r>
        <w:rPr>
          <w:lang w:val="en-US"/>
        </w:rPr>
        <w:t>. 669, p. 674 à 679.</w:t>
      </w:r>
    </w:p>
  </w:footnote>
  <w:footnote w:id="17">
    <w:p w:rsidR="00090D0C" w:rsidRDefault="00090D0C" w:rsidP="00B66E19">
      <w:pPr>
        <w:pStyle w:val="Notedebasdepage"/>
        <w:rPr>
          <w:lang w:val="en-US"/>
        </w:rPr>
      </w:pPr>
      <w:r>
        <w:rPr>
          <w:rStyle w:val="Appelnotedebasdep"/>
        </w:rPr>
        <w:footnoteRef/>
      </w:r>
      <w:r w:rsidR="000C1759">
        <w:t xml:space="preserve"> </w:t>
      </w:r>
      <w:r>
        <w:rPr>
          <w:lang w:val="en-US"/>
        </w:rPr>
        <w:t xml:space="preserve">Hogg, </w:t>
      </w:r>
      <w:r>
        <w:rPr>
          <w:i/>
          <w:lang w:val="en-US"/>
        </w:rPr>
        <w:t>Constitutional Law of Canada</w:t>
      </w:r>
      <w:r w:rsidR="000C1759">
        <w:rPr>
          <w:lang w:val="en-US"/>
        </w:rPr>
        <w:t xml:space="preserve">, </w:t>
      </w:r>
      <w:r w:rsidR="000C1759" w:rsidRPr="000C1759">
        <w:rPr>
          <w:i/>
          <w:lang w:val="en-US"/>
        </w:rPr>
        <w:t>supra</w:t>
      </w:r>
      <w:r w:rsidR="000C1759">
        <w:rPr>
          <w:lang w:val="en-US"/>
        </w:rPr>
        <w:t xml:space="preserve"> note 11, </w:t>
      </w:r>
      <w:r>
        <w:rPr>
          <w:lang w:val="en-US"/>
        </w:rPr>
        <w:t>p. 55-21.</w:t>
      </w:r>
    </w:p>
  </w:footnote>
  <w:footnote w:id="18">
    <w:p w:rsidR="00090D0C" w:rsidRDefault="00090D0C" w:rsidP="00B66E19">
      <w:pPr>
        <w:pStyle w:val="Notedebasdepage"/>
        <w:rPr>
          <w:lang w:val="fr-CA"/>
        </w:rPr>
      </w:pPr>
      <w:r>
        <w:rPr>
          <w:rStyle w:val="Appelnotedebasdep"/>
        </w:rPr>
        <w:footnoteRef/>
      </w:r>
      <w:r>
        <w:rPr>
          <w:lang w:val="fr-CA"/>
        </w:rPr>
        <w:t xml:space="preserve"> </w:t>
      </w:r>
      <w:r>
        <w:rPr>
          <w:i/>
          <w:lang w:val="fr-CA"/>
        </w:rPr>
        <w:t>Egan c. Canada</w:t>
      </w:r>
      <w:r>
        <w:rPr>
          <w:lang w:val="fr-CA"/>
        </w:rPr>
        <w:t>,</w:t>
      </w:r>
      <w:r>
        <w:rPr>
          <w:i/>
          <w:lang w:val="fr-CA"/>
        </w:rPr>
        <w:t xml:space="preserve"> </w:t>
      </w:r>
      <w:r>
        <w:rPr>
          <w:lang w:val="fr-CA"/>
        </w:rPr>
        <w:t>[1995] 2 R.C.S. 513, p. 551 et 552, juge L’Heureux-Dubé, dissidente.</w:t>
      </w:r>
    </w:p>
  </w:footnote>
  <w:footnote w:id="19">
    <w:p w:rsidR="00090D0C" w:rsidRDefault="00090D0C" w:rsidP="00B66E19">
      <w:pPr>
        <w:pStyle w:val="Notedebasdepage"/>
        <w:rPr>
          <w:lang w:val="fr-CA"/>
        </w:rPr>
      </w:pPr>
      <w:r>
        <w:rPr>
          <w:rStyle w:val="Appelnotedebasdep"/>
        </w:rPr>
        <w:footnoteRef/>
      </w:r>
      <w:r>
        <w:rPr>
          <w:lang w:val="fr-CA"/>
        </w:rPr>
        <w:t xml:space="preserve"> </w:t>
      </w:r>
      <w:r>
        <w:rPr>
          <w:i/>
          <w:lang w:val="fr-CA"/>
        </w:rPr>
        <w:t>Corbière c. Canada (Ministre des Affaires indiennes et du Nord canadien)</w:t>
      </w:r>
      <w:r>
        <w:rPr>
          <w:lang w:val="fr-CA"/>
        </w:rPr>
        <w:t>, [1999] 2 R.C.S. 203, par. 13, juges McLachlin et Bastarache.</w:t>
      </w:r>
    </w:p>
  </w:footnote>
  <w:footnote w:id="20">
    <w:p w:rsidR="00090D0C" w:rsidRDefault="00090D0C" w:rsidP="00B66E19">
      <w:pPr>
        <w:pStyle w:val="Notedebasdepage"/>
        <w:rPr>
          <w:lang w:val="fr-CA"/>
        </w:rPr>
      </w:pPr>
      <w:r>
        <w:rPr>
          <w:rStyle w:val="Appelnotedebasdep"/>
        </w:rPr>
        <w:footnoteRef/>
      </w:r>
      <w:r>
        <w:rPr>
          <w:i/>
          <w:lang w:val="fr-CA"/>
        </w:rPr>
        <w:t xml:space="preserve"> Ibid.</w:t>
      </w:r>
      <w:r>
        <w:rPr>
          <w:lang w:val="fr-CA"/>
        </w:rPr>
        <w:t>, par. 15 (juges McLachlin et Bastarache), 62 (juge L’Heureux-Dubé, dissidente, mais pas sur ce point).</w:t>
      </w:r>
    </w:p>
  </w:footnote>
  <w:footnote w:id="21">
    <w:p w:rsidR="00090D0C" w:rsidRDefault="00090D0C" w:rsidP="00B66E19">
      <w:pPr>
        <w:pStyle w:val="Notedebasdepage"/>
        <w:rPr>
          <w:lang w:val="fr-CA"/>
        </w:rPr>
      </w:pPr>
      <w:r>
        <w:rPr>
          <w:rStyle w:val="Appelnotedebasdep"/>
        </w:rPr>
        <w:footnoteRef/>
      </w:r>
      <w:r>
        <w:rPr>
          <w:lang w:val="fr-CA"/>
        </w:rPr>
        <w:t xml:space="preserve"> </w:t>
      </w:r>
      <w:r>
        <w:rPr>
          <w:i/>
          <w:lang w:val="fr-CA"/>
        </w:rPr>
        <w:t>Law c. Canada (Ministre de l’Emploi et de l’Immigration)</w:t>
      </w:r>
      <w:r>
        <w:rPr>
          <w:lang w:val="fr-CA"/>
        </w:rPr>
        <w:t>, [1999] 1 R.C.S. 497, par. 94 [</w:t>
      </w:r>
      <w:r>
        <w:rPr>
          <w:i/>
          <w:lang w:val="fr-CA"/>
        </w:rPr>
        <w:t>Law</w:t>
      </w:r>
      <w:r>
        <w:rPr>
          <w:lang w:val="fr-CA"/>
        </w:rPr>
        <w:t xml:space="preserve">]; </w:t>
      </w:r>
      <w:r>
        <w:rPr>
          <w:i/>
          <w:lang w:val="fr-CA"/>
        </w:rPr>
        <w:t>Withler</w:t>
      </w:r>
      <w:r>
        <w:rPr>
          <w:lang w:val="fr-CA"/>
        </w:rPr>
        <w:t xml:space="preserve">, </w:t>
      </w:r>
      <w:r>
        <w:rPr>
          <w:i/>
          <w:lang w:val="fr-CA"/>
        </w:rPr>
        <w:t xml:space="preserve">supra </w:t>
      </w:r>
      <w:r>
        <w:rPr>
          <w:lang w:val="fr-CA"/>
        </w:rPr>
        <w:t>note </w:t>
      </w:r>
      <w:r w:rsidR="000C1759">
        <w:rPr>
          <w:lang w:val="fr-CA"/>
        </w:rPr>
        <w:t>18</w:t>
      </w:r>
      <w:r>
        <w:rPr>
          <w:lang w:val="fr-CA"/>
        </w:rPr>
        <w:t>, par. 58 et 63.</w:t>
      </w:r>
    </w:p>
  </w:footnote>
  <w:footnote w:id="22">
    <w:p w:rsidR="00314299" w:rsidRPr="00D310C2" w:rsidRDefault="00314299" w:rsidP="00314299">
      <w:pPr>
        <w:pStyle w:val="Notedebasdepage"/>
        <w:rPr>
          <w:lang w:val="en-US"/>
        </w:rPr>
      </w:pPr>
      <w:r>
        <w:rPr>
          <w:rStyle w:val="Appelnotedebasdep"/>
        </w:rPr>
        <w:footnoteRef/>
      </w:r>
      <w:r w:rsidRPr="00A27078">
        <w:t xml:space="preserve"> </w:t>
      </w:r>
      <w:r>
        <w:rPr>
          <w:lang w:val="en-US"/>
        </w:rPr>
        <w:t xml:space="preserve">Charles Taylor, « The Politics of Recognition », dans Charles Taylor, </w:t>
      </w:r>
      <w:r>
        <w:rPr>
          <w:i/>
          <w:lang w:val="en-US"/>
        </w:rPr>
        <w:t>Multiculturalism</w:t>
      </w:r>
      <w:r>
        <w:rPr>
          <w:lang w:val="en-US"/>
        </w:rPr>
        <w:t xml:space="preserve">,éd. par Amy Gutmann (Princeton, NJ: Princeton University Press, 1994) p. 25, p. 33 [Taylor]. </w:t>
      </w:r>
    </w:p>
  </w:footnote>
  <w:footnote w:id="23">
    <w:p w:rsidR="00314299" w:rsidRPr="008873B5" w:rsidRDefault="00314299" w:rsidP="00314299">
      <w:pPr>
        <w:pStyle w:val="Notedebasdepage"/>
      </w:pPr>
      <w:r>
        <w:rPr>
          <w:rStyle w:val="Appelnotedebasdep"/>
        </w:rPr>
        <w:footnoteRef/>
      </w:r>
      <w:r w:rsidRPr="008873B5">
        <w:t xml:space="preserve"> </w:t>
      </w:r>
      <w:r>
        <w:t>Madame la juge Bertha Wilson, « Will Women Judges Really Make a Difference » (1990) 23 Osgoode Hall L.J. 507.</w:t>
      </w:r>
    </w:p>
  </w:footnote>
  <w:footnote w:id="24">
    <w:p w:rsidR="00314299" w:rsidRPr="00A95B66" w:rsidRDefault="00314299" w:rsidP="00314299">
      <w:pPr>
        <w:pStyle w:val="Notedebasdepage"/>
        <w:rPr>
          <w:lang w:val="fr-CA"/>
        </w:rPr>
      </w:pPr>
      <w:r>
        <w:rPr>
          <w:rStyle w:val="Appelnotedebasdep"/>
        </w:rPr>
        <w:footnoteRef/>
      </w:r>
      <w:r w:rsidRPr="00A95B66">
        <w:rPr>
          <w:lang w:val="fr-CA"/>
        </w:rPr>
        <w:t xml:space="preserve"> </w:t>
      </w:r>
      <w:r w:rsidRPr="00A95B66">
        <w:rPr>
          <w:i/>
          <w:lang w:val="fr-CA"/>
        </w:rPr>
        <w:t xml:space="preserve">Symes </w:t>
      </w:r>
      <w:r>
        <w:rPr>
          <w:i/>
          <w:lang w:val="fr-CA"/>
        </w:rPr>
        <w:t>c</w:t>
      </w:r>
      <w:r w:rsidRPr="00A95B66">
        <w:rPr>
          <w:i/>
          <w:lang w:val="fr-CA"/>
        </w:rPr>
        <w:t>. R.</w:t>
      </w:r>
      <w:r w:rsidRPr="00A95B66">
        <w:rPr>
          <w:lang w:val="fr-CA"/>
        </w:rPr>
        <w:t xml:space="preserve">, [1993] 4 </w:t>
      </w:r>
      <w:r>
        <w:rPr>
          <w:lang w:val="fr-CA"/>
        </w:rPr>
        <w:t>R.C.S. </w:t>
      </w:r>
      <w:r w:rsidRPr="00A95B66">
        <w:rPr>
          <w:lang w:val="fr-CA"/>
        </w:rPr>
        <w:t>695,</w:t>
      </w:r>
      <w:r>
        <w:rPr>
          <w:lang w:val="fr-CA"/>
        </w:rPr>
        <w:t xml:space="preserve"> juge</w:t>
      </w:r>
      <w:r w:rsidRPr="00A95B66">
        <w:rPr>
          <w:lang w:val="fr-CA"/>
        </w:rPr>
        <w:t xml:space="preserve"> L’Heureux-Dub</w:t>
      </w:r>
      <w:r>
        <w:rPr>
          <w:lang w:val="fr-CA"/>
        </w:rPr>
        <w:t>é, dissidente.</w:t>
      </w:r>
    </w:p>
  </w:footnote>
  <w:footnote w:id="25">
    <w:p w:rsidR="00314299" w:rsidRPr="00375100" w:rsidRDefault="00314299" w:rsidP="00314299">
      <w:pPr>
        <w:pStyle w:val="Notedebasdepage"/>
        <w:rPr>
          <w:lang w:val="fr-CA"/>
        </w:rPr>
      </w:pPr>
      <w:r>
        <w:rPr>
          <w:rStyle w:val="Appelnotedebasdep"/>
        </w:rPr>
        <w:footnoteRef/>
      </w:r>
      <w:r w:rsidRPr="006F7F80">
        <w:rPr>
          <w:lang w:val="fr-CA"/>
        </w:rPr>
        <w:t xml:space="preserve"> </w:t>
      </w:r>
      <w:r w:rsidRPr="006F7F80">
        <w:rPr>
          <w:i/>
          <w:lang w:val="fr-CA"/>
        </w:rPr>
        <w:t xml:space="preserve">Québec (Procureur général) c. A, </w:t>
      </w:r>
      <w:r w:rsidRPr="006F7F80">
        <w:rPr>
          <w:lang w:val="fr-CA"/>
        </w:rPr>
        <w:t xml:space="preserve">2013 CSC 5, par. 430, </w:t>
      </w:r>
      <w:r>
        <w:rPr>
          <w:lang w:val="fr-CA"/>
        </w:rPr>
        <w:t>juge en chef McLachlin</w:t>
      </w:r>
      <w:r w:rsidRPr="006F7F80">
        <w:rPr>
          <w:lang w:val="fr-CA"/>
        </w:rPr>
        <w:t xml:space="preserve"> [</w:t>
      </w:r>
      <w:r w:rsidRPr="006F7F80">
        <w:rPr>
          <w:i/>
          <w:lang w:val="fr-CA"/>
        </w:rPr>
        <w:t>Qu</w:t>
      </w:r>
      <w:r>
        <w:rPr>
          <w:i/>
          <w:lang w:val="fr-CA"/>
        </w:rPr>
        <w:t>é</w:t>
      </w:r>
      <w:r w:rsidRPr="006F7F80">
        <w:rPr>
          <w:i/>
          <w:lang w:val="fr-CA"/>
        </w:rPr>
        <w:t xml:space="preserve">bec </w:t>
      </w:r>
      <w:r>
        <w:rPr>
          <w:i/>
          <w:lang w:val="fr-CA"/>
        </w:rPr>
        <w:t>c</w:t>
      </w:r>
      <w:r w:rsidRPr="006F7F80">
        <w:rPr>
          <w:i/>
          <w:lang w:val="fr-CA"/>
        </w:rPr>
        <w:t>. A</w:t>
      </w:r>
      <w:r w:rsidRPr="006F7F80">
        <w:rPr>
          <w:lang w:val="fr-CA"/>
        </w:rPr>
        <w:t xml:space="preserve">]; </w:t>
      </w:r>
      <w:r w:rsidRPr="006F7F80">
        <w:rPr>
          <w:i/>
          <w:lang w:val="fr-CA"/>
        </w:rPr>
        <w:t xml:space="preserve">Law, supra </w:t>
      </w:r>
      <w:r>
        <w:rPr>
          <w:lang w:val="fr-CA"/>
        </w:rPr>
        <w:t>note </w:t>
      </w:r>
      <w:r w:rsidRPr="006F7F80">
        <w:rPr>
          <w:lang w:val="fr-CA"/>
        </w:rPr>
        <w:t>28</w:t>
      </w:r>
      <w:r w:rsidRPr="00375100">
        <w:rPr>
          <w:lang w:val="fr-CA"/>
        </w:rPr>
        <w:t xml:space="preserve">, par. 60; </w:t>
      </w:r>
      <w:r w:rsidRPr="00375100">
        <w:rPr>
          <w:i/>
          <w:lang w:val="fr-CA"/>
        </w:rPr>
        <w:t>Gosselin</w:t>
      </w:r>
      <w:r w:rsidRPr="00375100">
        <w:rPr>
          <w:lang w:val="fr-CA"/>
        </w:rPr>
        <w:t xml:space="preserve">, </w:t>
      </w:r>
      <w:r w:rsidRPr="00375100">
        <w:rPr>
          <w:i/>
          <w:lang w:val="fr-CA"/>
        </w:rPr>
        <w:t>supra</w:t>
      </w:r>
      <w:r w:rsidRPr="00375100">
        <w:rPr>
          <w:lang w:val="fr-CA"/>
        </w:rPr>
        <w:t xml:space="preserve"> note </w:t>
      </w:r>
      <w:r>
        <w:fldChar w:fldCharType="begin"/>
      </w:r>
      <w:r w:rsidRPr="00375100">
        <w:rPr>
          <w:lang w:val="fr-CA"/>
        </w:rPr>
        <w:instrText xml:space="preserve"> NOTEREF _Ref477018177 \h </w:instrText>
      </w:r>
      <w:r>
        <w:fldChar w:fldCharType="separate"/>
      </w:r>
      <w:r w:rsidR="00C072D1">
        <w:rPr>
          <w:lang w:val="fr-CA"/>
        </w:rPr>
        <w:t>15</w:t>
      </w:r>
      <w:r>
        <w:fldChar w:fldCharType="end"/>
      </w:r>
      <w:r w:rsidRPr="00375100">
        <w:rPr>
          <w:lang w:val="fr-CA"/>
        </w:rPr>
        <w:t xml:space="preserve">, par. 28; </w:t>
      </w:r>
      <w:r w:rsidRPr="00375100">
        <w:rPr>
          <w:i/>
          <w:lang w:val="fr-CA"/>
        </w:rPr>
        <w:t xml:space="preserve">Martin </w:t>
      </w:r>
      <w:r>
        <w:rPr>
          <w:i/>
          <w:lang w:val="fr-CA"/>
        </w:rPr>
        <w:t>c</w:t>
      </w:r>
      <w:r w:rsidRPr="00375100">
        <w:rPr>
          <w:i/>
          <w:lang w:val="fr-CA"/>
        </w:rPr>
        <w:t xml:space="preserve">. </w:t>
      </w:r>
      <w:r>
        <w:rPr>
          <w:i/>
          <w:lang w:val="fr-CA"/>
        </w:rPr>
        <w:t>Nouvelle-Écosse</w:t>
      </w:r>
      <w:r w:rsidRPr="00375100">
        <w:rPr>
          <w:i/>
          <w:lang w:val="fr-CA"/>
        </w:rPr>
        <w:t xml:space="preserve"> (Workers’ Compensation Board)</w:t>
      </w:r>
      <w:r w:rsidRPr="00375100">
        <w:rPr>
          <w:lang w:val="fr-CA"/>
        </w:rPr>
        <w:t xml:space="preserve">, 2003 CSC 54, par. 106; </w:t>
      </w:r>
      <w:r w:rsidRPr="00375100">
        <w:rPr>
          <w:i/>
          <w:lang w:val="fr-CA"/>
        </w:rPr>
        <w:t xml:space="preserve">M </w:t>
      </w:r>
      <w:r>
        <w:rPr>
          <w:i/>
          <w:lang w:val="fr-CA"/>
        </w:rPr>
        <w:t>c</w:t>
      </w:r>
      <w:r w:rsidRPr="00375100">
        <w:rPr>
          <w:i/>
          <w:lang w:val="fr-CA"/>
        </w:rPr>
        <w:t>. H,</w:t>
      </w:r>
      <w:r w:rsidRPr="00375100">
        <w:rPr>
          <w:lang w:val="fr-CA"/>
        </w:rPr>
        <w:t xml:space="preserve"> [1999] 2 R.C.S. 3, par. 67. </w:t>
      </w:r>
    </w:p>
  </w:footnote>
  <w:footnote w:id="26">
    <w:p w:rsidR="00314299" w:rsidRPr="002C0423" w:rsidRDefault="00314299" w:rsidP="00314299">
      <w:pPr>
        <w:pStyle w:val="Notedebasdepage"/>
      </w:pPr>
      <w:r>
        <w:rPr>
          <w:rStyle w:val="Appelnotedebasdep"/>
        </w:rPr>
        <w:footnoteRef/>
      </w:r>
      <w:r>
        <w:t xml:space="preserve"> </w:t>
      </w:r>
      <w:r>
        <w:rPr>
          <w:i/>
        </w:rPr>
        <w:t>Canadian Foundation for Children, Youth</w:t>
      </w:r>
      <w:r>
        <w:t xml:space="preserve"> </w:t>
      </w:r>
      <w:r>
        <w:rPr>
          <w:i/>
        </w:rPr>
        <w:t>&amp; the Law c. Canada (Procureur général)</w:t>
      </w:r>
      <w:r>
        <w:t>, 2004 CSC 4 [</w:t>
      </w:r>
      <w:r>
        <w:rPr>
          <w:i/>
        </w:rPr>
        <w:t>Canadian Foundation</w:t>
      </w:r>
      <w:r>
        <w:t>].</w:t>
      </w:r>
    </w:p>
  </w:footnote>
  <w:footnote w:id="27">
    <w:p w:rsidR="00314299" w:rsidRPr="00375100" w:rsidRDefault="00314299" w:rsidP="00314299">
      <w:pPr>
        <w:pStyle w:val="Notedebasdepage"/>
        <w:rPr>
          <w:lang w:val="fr-CA"/>
        </w:rPr>
      </w:pPr>
      <w:r>
        <w:rPr>
          <w:rStyle w:val="Appelnotedebasdep"/>
        </w:rPr>
        <w:footnoteRef/>
      </w:r>
      <w:r w:rsidRPr="00375100">
        <w:rPr>
          <w:lang w:val="fr-CA"/>
        </w:rPr>
        <w:t xml:space="preserve"> </w:t>
      </w:r>
      <w:r w:rsidRPr="00375100">
        <w:rPr>
          <w:i/>
          <w:lang w:val="fr-CA"/>
        </w:rPr>
        <w:t xml:space="preserve">Law, supra </w:t>
      </w:r>
      <w:r w:rsidRPr="00375100">
        <w:rPr>
          <w:lang w:val="fr-CA"/>
        </w:rPr>
        <w:t xml:space="preserve">note </w:t>
      </w:r>
      <w:r w:rsidRPr="00EB3B8F">
        <w:rPr>
          <w:lang w:val="fr-CA"/>
        </w:rPr>
        <w:t>28</w:t>
      </w:r>
      <w:r w:rsidRPr="00375100">
        <w:rPr>
          <w:lang w:val="fr-CA"/>
        </w:rPr>
        <w:t>, par. 88.</w:t>
      </w:r>
    </w:p>
  </w:footnote>
  <w:footnote w:id="28">
    <w:p w:rsidR="00314299" w:rsidRPr="00EB3B8F" w:rsidRDefault="00314299" w:rsidP="00314299">
      <w:pPr>
        <w:pStyle w:val="Notedebasdepage"/>
        <w:rPr>
          <w:lang w:val="fr-CA"/>
        </w:rPr>
      </w:pPr>
      <w:r>
        <w:rPr>
          <w:rStyle w:val="Appelnotedebasdep"/>
        </w:rPr>
        <w:footnoteRef/>
      </w:r>
      <w:r w:rsidRPr="00EB3B8F">
        <w:rPr>
          <w:lang w:val="fr-CA"/>
        </w:rPr>
        <w:t xml:space="preserve"> </w:t>
      </w:r>
      <w:r w:rsidRPr="00EB3B8F">
        <w:rPr>
          <w:i/>
          <w:lang w:val="fr-CA"/>
        </w:rPr>
        <w:t>Canadian Foundation</w:t>
      </w:r>
      <w:r w:rsidRPr="00EB3B8F">
        <w:rPr>
          <w:lang w:val="fr-CA"/>
        </w:rPr>
        <w:t xml:space="preserve">, </w:t>
      </w:r>
      <w:r w:rsidRPr="00EB3B8F">
        <w:rPr>
          <w:i/>
          <w:lang w:val="fr-CA"/>
        </w:rPr>
        <w:t xml:space="preserve">supra </w:t>
      </w:r>
      <w:r w:rsidRPr="00EB3B8F">
        <w:rPr>
          <w:lang w:val="fr-CA"/>
        </w:rPr>
        <w:t xml:space="preserve">note </w:t>
      </w:r>
      <w:r>
        <w:rPr>
          <w:lang w:val="en-US"/>
        </w:rPr>
        <w:fldChar w:fldCharType="begin"/>
      </w:r>
      <w:r w:rsidRPr="00EB3B8F">
        <w:rPr>
          <w:lang w:val="fr-CA"/>
        </w:rPr>
        <w:instrText xml:space="preserve"> NOTEREF _Ref477018789 \h </w:instrText>
      </w:r>
      <w:r>
        <w:rPr>
          <w:lang w:val="en-US"/>
        </w:rPr>
      </w:r>
      <w:r>
        <w:rPr>
          <w:lang w:val="en-US"/>
        </w:rPr>
        <w:fldChar w:fldCharType="separate"/>
      </w:r>
      <w:r w:rsidR="00C072D1">
        <w:rPr>
          <w:lang w:val="fr-CA"/>
        </w:rPr>
        <w:t>26</w:t>
      </w:r>
      <w:r>
        <w:rPr>
          <w:lang w:val="en-US"/>
        </w:rPr>
        <w:fldChar w:fldCharType="end"/>
      </w:r>
      <w:r w:rsidRPr="00EB3B8F">
        <w:rPr>
          <w:lang w:val="fr-CA"/>
        </w:rPr>
        <w:t>, par. 50.</w:t>
      </w:r>
    </w:p>
  </w:footnote>
  <w:footnote w:id="29">
    <w:p w:rsidR="00314299" w:rsidRPr="00DA1448" w:rsidRDefault="00314299" w:rsidP="00314299">
      <w:pPr>
        <w:pStyle w:val="Notedebasdepage"/>
        <w:rPr>
          <w:lang w:val="fr-CA"/>
        </w:rPr>
      </w:pPr>
      <w:r>
        <w:rPr>
          <w:rStyle w:val="Appelnotedebasdep"/>
        </w:rPr>
        <w:footnoteRef/>
      </w:r>
      <w:r w:rsidRPr="00EB3B8F">
        <w:rPr>
          <w:lang w:val="fr-CA"/>
        </w:rPr>
        <w:t xml:space="preserve"> </w:t>
      </w:r>
      <w:r w:rsidRPr="00EB3B8F">
        <w:rPr>
          <w:i/>
          <w:lang w:val="fr-CA"/>
        </w:rPr>
        <w:t>Ibid</w:t>
      </w:r>
      <w:r w:rsidRPr="00EB3B8F">
        <w:rPr>
          <w:lang w:val="fr-CA"/>
        </w:rPr>
        <w:t xml:space="preserve">, par. 53. </w:t>
      </w:r>
      <w:r w:rsidRPr="006F7F80">
        <w:rPr>
          <w:lang w:val="fr-CA"/>
        </w:rPr>
        <w:t xml:space="preserve">Selon les juges majoritaires, </w:t>
      </w:r>
      <w:r>
        <w:rPr>
          <w:lang w:val="fr-CA"/>
        </w:rPr>
        <w:t>il faut</w:t>
      </w:r>
      <w:r w:rsidRPr="006F7F80">
        <w:rPr>
          <w:lang w:val="fr-CA"/>
        </w:rPr>
        <w:t xml:space="preserve"> tout de même prendre en compte le point de vue subjectif de l’enfant.</w:t>
      </w:r>
      <w:r w:rsidRPr="00DA1448">
        <w:rPr>
          <w:lang w:val="fr-CA"/>
        </w:rPr>
        <w:t xml:space="preserve"> </w:t>
      </w:r>
    </w:p>
  </w:footnote>
  <w:footnote w:id="30">
    <w:p w:rsidR="00314299" w:rsidRPr="00DA1448" w:rsidRDefault="00314299" w:rsidP="00314299">
      <w:pPr>
        <w:pStyle w:val="Notedebasdepage"/>
        <w:rPr>
          <w:lang w:val="fr-CA"/>
        </w:rPr>
      </w:pPr>
      <w:r>
        <w:rPr>
          <w:rStyle w:val="Appelnotedebasdep"/>
        </w:rPr>
        <w:footnoteRef/>
      </w:r>
      <w:r w:rsidRPr="00F85DFF">
        <w:t xml:space="preserve"> </w:t>
      </w:r>
      <w:r>
        <w:rPr>
          <w:i/>
        </w:rPr>
        <w:t>Ibid</w:t>
      </w:r>
      <w:r>
        <w:t xml:space="preserve">, par. 102, 107-108, juge Binnie, dissident en partie; Judith Mosoff et Isabel Grant, “Upholding Corporal Punishment: For Whose Benefit?” </w:t>
      </w:r>
      <w:r w:rsidRPr="00DA1448">
        <w:rPr>
          <w:lang w:val="fr-CA"/>
        </w:rPr>
        <w:t>(2005) 31 Manitoba L.J.</w:t>
      </w:r>
      <w:r>
        <w:rPr>
          <w:lang w:val="fr-CA"/>
        </w:rPr>
        <w:t> </w:t>
      </w:r>
      <w:r w:rsidRPr="00DA1448">
        <w:rPr>
          <w:lang w:val="fr-CA"/>
        </w:rPr>
        <w:t>177, p.</w:t>
      </w:r>
      <w:r>
        <w:rPr>
          <w:lang w:val="fr-CA"/>
        </w:rPr>
        <w:t> </w:t>
      </w:r>
      <w:r w:rsidRPr="00DA1448">
        <w:rPr>
          <w:lang w:val="fr-CA"/>
        </w:rPr>
        <w:t xml:space="preserve">184, 185 et 193. </w:t>
      </w:r>
    </w:p>
  </w:footnote>
  <w:footnote w:id="31">
    <w:p w:rsidR="00314299" w:rsidRPr="00375100" w:rsidRDefault="00314299" w:rsidP="00314299">
      <w:pPr>
        <w:pStyle w:val="Notedebasdepage"/>
        <w:rPr>
          <w:lang w:val="fr-CA"/>
        </w:rPr>
      </w:pPr>
      <w:r>
        <w:rPr>
          <w:rStyle w:val="Appelnotedebasdep"/>
        </w:rPr>
        <w:footnoteRef/>
      </w:r>
      <w:r w:rsidRPr="00375100">
        <w:rPr>
          <w:lang w:val="fr-CA"/>
        </w:rPr>
        <w:t xml:space="preserve"> </w:t>
      </w:r>
      <w:r w:rsidRPr="00375100">
        <w:rPr>
          <w:i/>
          <w:lang w:val="fr-CA"/>
        </w:rPr>
        <w:t xml:space="preserve">R </w:t>
      </w:r>
      <w:r>
        <w:rPr>
          <w:i/>
          <w:lang w:val="fr-CA"/>
        </w:rPr>
        <w:t>c</w:t>
      </w:r>
      <w:r w:rsidRPr="00375100">
        <w:rPr>
          <w:i/>
          <w:lang w:val="fr-CA"/>
        </w:rPr>
        <w:t>. Kapp</w:t>
      </w:r>
      <w:r w:rsidRPr="00375100">
        <w:rPr>
          <w:lang w:val="fr-CA"/>
        </w:rPr>
        <w:t>, 2008 CSC 41, par. 21</w:t>
      </w:r>
      <w:r>
        <w:rPr>
          <w:lang w:val="fr-CA"/>
        </w:rPr>
        <w:t xml:space="preserve"> à </w:t>
      </w:r>
      <w:r w:rsidRPr="00375100">
        <w:rPr>
          <w:lang w:val="fr-CA"/>
        </w:rPr>
        <w:t>24 [</w:t>
      </w:r>
      <w:r w:rsidRPr="00375100">
        <w:rPr>
          <w:i/>
          <w:lang w:val="fr-CA"/>
        </w:rPr>
        <w:t>Kapp</w:t>
      </w:r>
      <w:r w:rsidRPr="00375100">
        <w:rPr>
          <w:lang w:val="fr-CA"/>
        </w:rPr>
        <w:t xml:space="preserve">]; </w:t>
      </w:r>
      <w:r w:rsidRPr="00375100">
        <w:rPr>
          <w:i/>
          <w:lang w:val="fr-CA"/>
        </w:rPr>
        <w:t>Qu</w:t>
      </w:r>
      <w:r>
        <w:rPr>
          <w:i/>
          <w:lang w:val="fr-CA"/>
        </w:rPr>
        <w:t>é</w:t>
      </w:r>
      <w:r w:rsidRPr="00375100">
        <w:rPr>
          <w:i/>
          <w:lang w:val="fr-CA"/>
        </w:rPr>
        <w:t>bec v. A</w:t>
      </w:r>
      <w:r w:rsidRPr="00375100">
        <w:rPr>
          <w:lang w:val="fr-CA"/>
        </w:rPr>
        <w:t xml:space="preserve">, </w:t>
      </w:r>
      <w:r w:rsidRPr="00375100">
        <w:rPr>
          <w:i/>
          <w:lang w:val="fr-CA"/>
        </w:rPr>
        <w:t>supra</w:t>
      </w:r>
      <w:r w:rsidRPr="00375100">
        <w:rPr>
          <w:lang w:val="fr-CA"/>
        </w:rPr>
        <w:t xml:space="preserve"> note </w:t>
      </w:r>
      <w:r>
        <w:fldChar w:fldCharType="begin"/>
      </w:r>
      <w:r w:rsidRPr="00375100">
        <w:rPr>
          <w:lang w:val="fr-CA"/>
        </w:rPr>
        <w:instrText xml:space="preserve"> NOTEREF _Ref477019122 \h </w:instrText>
      </w:r>
      <w:r>
        <w:fldChar w:fldCharType="separate"/>
      </w:r>
      <w:r w:rsidR="00C072D1">
        <w:rPr>
          <w:lang w:val="fr-CA"/>
        </w:rPr>
        <w:t>25</w:t>
      </w:r>
      <w:r>
        <w:fldChar w:fldCharType="end"/>
      </w:r>
      <w:r w:rsidRPr="00DA1448">
        <w:rPr>
          <w:lang w:val="fr-CA"/>
        </w:rPr>
        <w:t>2</w:t>
      </w:r>
      <w:r w:rsidRPr="00375100">
        <w:rPr>
          <w:lang w:val="fr-CA"/>
        </w:rPr>
        <w:t>, par. 165 (</w:t>
      </w:r>
      <w:r>
        <w:rPr>
          <w:lang w:val="fr-CA"/>
        </w:rPr>
        <w:t xml:space="preserve">juge </w:t>
      </w:r>
      <w:r w:rsidRPr="00375100">
        <w:rPr>
          <w:lang w:val="fr-CA"/>
        </w:rPr>
        <w:t>LeBel), 329</w:t>
      </w:r>
      <w:r>
        <w:rPr>
          <w:lang w:val="fr-CA"/>
        </w:rPr>
        <w:t xml:space="preserve"> et </w:t>
      </w:r>
      <w:r w:rsidRPr="00375100">
        <w:rPr>
          <w:lang w:val="fr-CA"/>
        </w:rPr>
        <w:t>330 (</w:t>
      </w:r>
      <w:r>
        <w:rPr>
          <w:lang w:val="fr-CA"/>
        </w:rPr>
        <w:t>juge </w:t>
      </w:r>
      <w:r w:rsidRPr="00375100">
        <w:rPr>
          <w:lang w:val="fr-CA"/>
        </w:rPr>
        <w:t>Abella).</w:t>
      </w:r>
    </w:p>
  </w:footnote>
  <w:footnote w:id="32">
    <w:p w:rsidR="00314299" w:rsidRPr="00DA1448" w:rsidRDefault="00314299" w:rsidP="00314299">
      <w:pPr>
        <w:pStyle w:val="Notedebasdepage"/>
        <w:rPr>
          <w:lang w:val="fr-CA"/>
        </w:rPr>
      </w:pPr>
      <w:r>
        <w:rPr>
          <w:rStyle w:val="Appelnotedebasdep"/>
        </w:rPr>
        <w:footnoteRef/>
      </w:r>
      <w:r w:rsidRPr="00DA1448">
        <w:rPr>
          <w:lang w:val="fr-CA"/>
        </w:rPr>
        <w:t xml:space="preserve"> </w:t>
      </w:r>
      <w:r w:rsidRPr="00DA1448">
        <w:rPr>
          <w:i/>
          <w:lang w:val="fr-CA"/>
        </w:rPr>
        <w:t>Québec c. A</w:t>
      </w:r>
      <w:r w:rsidRPr="00DA1448">
        <w:rPr>
          <w:lang w:val="fr-CA"/>
        </w:rPr>
        <w:t xml:space="preserve">, </w:t>
      </w:r>
      <w:r w:rsidRPr="00DA1448">
        <w:rPr>
          <w:i/>
          <w:lang w:val="fr-CA"/>
        </w:rPr>
        <w:t xml:space="preserve">supra </w:t>
      </w:r>
      <w:r w:rsidRPr="00DA1448">
        <w:rPr>
          <w:lang w:val="fr-CA"/>
        </w:rPr>
        <w:t xml:space="preserve">note </w:t>
      </w:r>
      <w:r>
        <w:rPr>
          <w:lang w:val="en-US"/>
        </w:rPr>
        <w:fldChar w:fldCharType="begin"/>
      </w:r>
      <w:r w:rsidRPr="00DA1448">
        <w:rPr>
          <w:lang w:val="fr-CA"/>
        </w:rPr>
        <w:instrText xml:space="preserve"> NOTEREF _Ref477019122 \h </w:instrText>
      </w:r>
      <w:r>
        <w:rPr>
          <w:lang w:val="en-US"/>
        </w:rPr>
      </w:r>
      <w:r>
        <w:rPr>
          <w:lang w:val="en-US"/>
        </w:rPr>
        <w:fldChar w:fldCharType="separate"/>
      </w:r>
      <w:r w:rsidR="00C072D1">
        <w:rPr>
          <w:lang w:val="fr-CA"/>
        </w:rPr>
        <w:t>25</w:t>
      </w:r>
      <w:r>
        <w:rPr>
          <w:lang w:val="en-US"/>
        </w:rPr>
        <w:fldChar w:fldCharType="end"/>
      </w:r>
      <w:r w:rsidRPr="00DA1448">
        <w:rPr>
          <w:lang w:val="fr-CA"/>
        </w:rPr>
        <w:t xml:space="preserve">2, par. 139 (juge LeBel, dissident quant à l’existence d’une violation de l’art. 15); Axel Honneth, </w:t>
      </w:r>
      <w:r w:rsidRPr="00DA1448">
        <w:rPr>
          <w:i/>
          <w:lang w:val="fr-CA"/>
        </w:rPr>
        <w:t>The Struggle for Recognition: The Moral Grammar of Social Conflicts</w:t>
      </w:r>
      <w:r w:rsidRPr="00DA1448">
        <w:rPr>
          <w:lang w:val="fr-CA"/>
        </w:rPr>
        <w:t>, tr</w:t>
      </w:r>
      <w:r>
        <w:rPr>
          <w:lang w:val="fr-CA"/>
        </w:rPr>
        <w:t>aduit par</w:t>
      </w:r>
      <w:r w:rsidRPr="00DA1448">
        <w:rPr>
          <w:lang w:val="fr-CA"/>
        </w:rPr>
        <w:t xml:space="preserve"> Joel Anderson (Cambridge, Mass.: MIT Press, 1996).</w:t>
      </w:r>
    </w:p>
  </w:footnote>
  <w:footnote w:id="33">
    <w:p w:rsidR="00314299" w:rsidRPr="007E0A98" w:rsidRDefault="00314299" w:rsidP="00314299">
      <w:pPr>
        <w:pStyle w:val="Notedebasdepage"/>
      </w:pPr>
      <w:r>
        <w:rPr>
          <w:rStyle w:val="Appelnotedebasdep"/>
        </w:rPr>
        <w:footnoteRef/>
      </w:r>
      <w:r>
        <w:t xml:space="preserve"> L’honorable juge </w:t>
      </w:r>
      <w:r>
        <w:rPr>
          <w:lang w:val="en-US"/>
        </w:rPr>
        <w:t xml:space="preserve">Charles Gonthier, </w:t>
      </w:r>
      <w:r w:rsidRPr="00BA4E65">
        <w:t>“Some Comments on the Common Law and the Civil Law in Canada: Influences, Parallel Developments, and Borrowings” (1993) 21 C</w:t>
      </w:r>
      <w:r>
        <w:t>.</w:t>
      </w:r>
      <w:r w:rsidRPr="00BA4E65">
        <w:t>B</w:t>
      </w:r>
      <w:r>
        <w:t>.</w:t>
      </w:r>
      <w:r w:rsidRPr="00BA4E65">
        <w:t>L</w:t>
      </w:r>
      <w:r>
        <w:t>.</w:t>
      </w:r>
      <w:r w:rsidRPr="00BA4E65">
        <w:t>J</w:t>
      </w:r>
      <w:r>
        <w:t>.</w:t>
      </w:r>
      <w:r w:rsidRPr="00BA4E65">
        <w:t xml:space="preserve"> 323</w:t>
      </w:r>
      <w:r>
        <w:t>.</w:t>
      </w:r>
    </w:p>
  </w:footnote>
  <w:footnote w:id="34">
    <w:p w:rsidR="00314299" w:rsidRPr="002E6336" w:rsidRDefault="00314299" w:rsidP="00314299">
      <w:pPr>
        <w:pStyle w:val="Notedebasdepage"/>
        <w:rPr>
          <w:lang w:val="en-US"/>
        </w:rPr>
      </w:pPr>
      <w:r>
        <w:rPr>
          <w:rStyle w:val="Appelnotedebasdep"/>
        </w:rPr>
        <w:footnoteRef/>
      </w:r>
      <w:r>
        <w:t xml:space="preserve"> </w:t>
      </w:r>
      <w:r>
        <w:rPr>
          <w:lang w:val="en-US"/>
        </w:rPr>
        <w:t>Peter W. Hogg, “What is Equality? The Winding Course of Judicial Interpretation” (2005) 29 S.C.L.R. (2d) 39, p. 57, note 64 [Hogg, “What is Equality?”].</w:t>
      </w:r>
    </w:p>
    <w:p w:rsidR="00314299" w:rsidRPr="00960DD7" w:rsidRDefault="00314299" w:rsidP="00314299">
      <w:pPr>
        <w:pStyle w:val="Notedebasdepage"/>
        <w:ind w:left="0" w:firstLine="0"/>
        <w:rPr>
          <w:lang w:val="en-US"/>
        </w:rPr>
      </w:pPr>
    </w:p>
  </w:footnote>
  <w:footnote w:id="35">
    <w:p w:rsidR="006E71B5" w:rsidRPr="00823268" w:rsidRDefault="006E71B5" w:rsidP="006E71B5">
      <w:pPr>
        <w:pStyle w:val="Notedebasdepage"/>
        <w:rPr>
          <w:lang w:val="fr-CA"/>
        </w:rPr>
      </w:pPr>
      <w:r>
        <w:rPr>
          <w:rStyle w:val="Appelnotedebasdep"/>
        </w:rPr>
        <w:footnoteRef/>
      </w:r>
      <w:r w:rsidRPr="00823268">
        <w:rPr>
          <w:lang w:val="fr-CA"/>
        </w:rPr>
        <w:t xml:space="preserve"> Voir Taylor, </w:t>
      </w:r>
      <w:r w:rsidRPr="00823268">
        <w:rPr>
          <w:i/>
          <w:lang w:val="fr-CA"/>
        </w:rPr>
        <w:t>supra</w:t>
      </w:r>
      <w:r w:rsidRPr="00823268">
        <w:rPr>
          <w:lang w:val="fr-CA"/>
        </w:rPr>
        <w:t xml:space="preserve"> note</w:t>
      </w:r>
      <w:r w:rsidR="000D69A9" w:rsidRPr="00823268">
        <w:rPr>
          <w:lang w:val="fr-CA"/>
        </w:rPr>
        <w:t xml:space="preserve"> 18</w:t>
      </w:r>
      <w:r w:rsidRPr="00823268">
        <w:rPr>
          <w:lang w:val="fr-CA"/>
        </w:rPr>
        <w:t>, p. 36</w:t>
      </w:r>
    </w:p>
  </w:footnote>
  <w:footnote w:id="36">
    <w:p w:rsidR="000F4FD0" w:rsidRPr="000F4FD0" w:rsidRDefault="000F4FD0">
      <w:pPr>
        <w:pStyle w:val="Notedebasdepage"/>
        <w:rPr>
          <w:lang w:val="fr-CA"/>
        </w:rPr>
      </w:pPr>
      <w:r>
        <w:rPr>
          <w:rStyle w:val="Appelnotedebasdep"/>
        </w:rPr>
        <w:footnoteRef/>
      </w:r>
      <w:r w:rsidRPr="000F4FD0">
        <w:rPr>
          <w:lang w:val="fr-CA"/>
        </w:rPr>
        <w:t xml:space="preserve"> </w:t>
      </w:r>
      <w:r w:rsidRPr="000F4FD0">
        <w:rPr>
          <w:i/>
          <w:lang w:val="fr-FR"/>
        </w:rPr>
        <w:t>Sauvé c. Canada (Directeur général des élections)</w:t>
      </w:r>
      <w:r>
        <w:rPr>
          <w:lang w:val="fr-FR"/>
        </w:rPr>
        <w:t>, [2002] 3 R.C.S. 519.</w:t>
      </w:r>
    </w:p>
  </w:footnote>
  <w:footnote w:id="37">
    <w:p w:rsidR="0075632D" w:rsidRPr="003B4F00" w:rsidRDefault="0075632D" w:rsidP="0075632D">
      <w:pPr>
        <w:pStyle w:val="Notedebasdepage"/>
      </w:pPr>
      <w:r>
        <w:rPr>
          <w:rStyle w:val="Appelnotedebasdep"/>
        </w:rPr>
        <w:footnoteRef/>
      </w:r>
      <w:r>
        <w:t xml:space="preserve"> Hogg, “What is Equality?”, </w:t>
      </w:r>
      <w:r>
        <w:rPr>
          <w:i/>
        </w:rPr>
        <w:t>supra</w:t>
      </w:r>
      <w:r>
        <w:t xml:space="preserve"> note </w:t>
      </w:r>
      <w:r>
        <w:fldChar w:fldCharType="begin"/>
      </w:r>
      <w:r>
        <w:instrText xml:space="preserve"> NOTEREF _Ref477078828 \h </w:instrText>
      </w:r>
      <w:r>
        <w:fldChar w:fldCharType="separate"/>
      </w:r>
      <w:r w:rsidR="00C072D1">
        <w:t>34</w:t>
      </w:r>
      <w:r>
        <w:fldChar w:fldCharType="end"/>
      </w:r>
      <w:r>
        <w:t xml:space="preserve">; Jennifer Koshan et Jonnette Watson Hamilton, “The Continual Reinvention of Section 15 of the </w:t>
      </w:r>
      <w:r>
        <w:rPr>
          <w:i/>
        </w:rPr>
        <w:t>Charter</w:t>
      </w:r>
      <w:r>
        <w:t xml:space="preserve">” (2013) 64 </w:t>
      </w:r>
      <w:r w:rsidRPr="00DA1448">
        <w:t>D.U.N.-B.</w:t>
      </w:r>
      <w:r>
        <w:t>19; Bruce Ryder, “The Strange Double Life of Canadian Equality Rights” (2013) 63 S.C.L.R. (2d) 261.</w:t>
      </w:r>
    </w:p>
  </w:footnote>
  <w:footnote w:id="38">
    <w:p w:rsidR="0075632D" w:rsidRPr="00BC3E65" w:rsidRDefault="0075632D" w:rsidP="0075632D">
      <w:pPr>
        <w:pStyle w:val="Notedebasdepage"/>
        <w:rPr>
          <w:lang w:val="fr-CA"/>
        </w:rPr>
      </w:pPr>
      <w:r>
        <w:rPr>
          <w:rStyle w:val="Appelnotedebasdep"/>
        </w:rPr>
        <w:footnoteRef/>
      </w:r>
      <w:r w:rsidRPr="00BC3E65">
        <w:rPr>
          <w:lang w:val="fr-CA"/>
        </w:rPr>
        <w:t xml:space="preserve"> </w:t>
      </w:r>
      <w:r w:rsidRPr="00BC3E65">
        <w:rPr>
          <w:i/>
          <w:lang w:val="fr-CA"/>
        </w:rPr>
        <w:t>Qu</w:t>
      </w:r>
      <w:r>
        <w:rPr>
          <w:i/>
          <w:lang w:val="fr-CA"/>
        </w:rPr>
        <w:t>é</w:t>
      </w:r>
      <w:r w:rsidRPr="00BC3E65">
        <w:rPr>
          <w:i/>
          <w:lang w:val="fr-CA"/>
        </w:rPr>
        <w:t xml:space="preserve">bec </w:t>
      </w:r>
      <w:r>
        <w:rPr>
          <w:i/>
          <w:lang w:val="fr-CA"/>
        </w:rPr>
        <w:t>c</w:t>
      </w:r>
      <w:r w:rsidRPr="00BC3E65">
        <w:rPr>
          <w:i/>
          <w:lang w:val="fr-CA"/>
        </w:rPr>
        <w:t>. A</w:t>
      </w:r>
      <w:r w:rsidRPr="00BC3E65">
        <w:rPr>
          <w:lang w:val="fr-CA"/>
        </w:rPr>
        <w:t xml:space="preserve">, </w:t>
      </w:r>
      <w:r w:rsidRPr="00BC3E65">
        <w:rPr>
          <w:i/>
          <w:lang w:val="fr-CA"/>
        </w:rPr>
        <w:t xml:space="preserve">supra </w:t>
      </w:r>
      <w:r w:rsidRPr="00BC3E65">
        <w:rPr>
          <w:lang w:val="fr-CA"/>
        </w:rPr>
        <w:t xml:space="preserve">note </w:t>
      </w:r>
      <w:r>
        <w:rPr>
          <w:lang w:val="en-US"/>
        </w:rPr>
        <w:fldChar w:fldCharType="begin"/>
      </w:r>
      <w:r w:rsidRPr="00BC3E65">
        <w:rPr>
          <w:lang w:val="fr-CA"/>
        </w:rPr>
        <w:instrText xml:space="preserve"> NOTEREF _Ref477019122 \h </w:instrText>
      </w:r>
      <w:r>
        <w:rPr>
          <w:lang w:val="en-US"/>
        </w:rPr>
      </w:r>
      <w:r>
        <w:rPr>
          <w:lang w:val="en-US"/>
        </w:rPr>
        <w:fldChar w:fldCharType="separate"/>
      </w:r>
      <w:r w:rsidR="00C072D1">
        <w:rPr>
          <w:lang w:val="fr-CA"/>
        </w:rPr>
        <w:t>25</w:t>
      </w:r>
      <w:r>
        <w:rPr>
          <w:lang w:val="en-US"/>
        </w:rPr>
        <w:fldChar w:fldCharType="end"/>
      </w:r>
      <w:r w:rsidRPr="00DA1448">
        <w:rPr>
          <w:lang w:val="fr-CA"/>
        </w:rPr>
        <w:t>2</w:t>
      </w:r>
      <w:r w:rsidRPr="00BC3E65">
        <w:rPr>
          <w:lang w:val="fr-CA"/>
        </w:rPr>
        <w:t xml:space="preserve">, par. 329, </w:t>
      </w:r>
      <w:r>
        <w:rPr>
          <w:lang w:val="fr-CA"/>
        </w:rPr>
        <w:t xml:space="preserve">juge </w:t>
      </w:r>
      <w:r w:rsidRPr="00BC3E65">
        <w:rPr>
          <w:lang w:val="fr-CA"/>
        </w:rPr>
        <w:t xml:space="preserve">Abella.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9A" w:rsidRDefault="0074709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C" w:rsidRDefault="00090D0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765082"/>
      <w:docPartObj>
        <w:docPartGallery w:val="Page Numbers (Top of Page)"/>
        <w:docPartUnique/>
      </w:docPartObj>
    </w:sdtPr>
    <w:sdtEndPr/>
    <w:sdtContent>
      <w:p w:rsidR="00090D0C" w:rsidRDefault="00090D0C">
        <w:pPr>
          <w:pStyle w:val="En-tte"/>
          <w:jc w:val="center"/>
        </w:pPr>
        <w:r>
          <w:fldChar w:fldCharType="begin"/>
        </w:r>
        <w:r>
          <w:instrText>PAGE   \* MERGEFORMAT</w:instrText>
        </w:r>
        <w:r>
          <w:fldChar w:fldCharType="separate"/>
        </w:r>
        <w:r w:rsidR="008E3DF5" w:rsidRPr="008E3DF5">
          <w:rPr>
            <w:noProof/>
            <w:lang w:val="fr-FR"/>
          </w:rPr>
          <w:t>-</w:t>
        </w:r>
        <w:r w:rsidR="008E3DF5">
          <w:rPr>
            <w:noProof/>
          </w:rPr>
          <w:t xml:space="preserve"> 2 -</w:t>
        </w:r>
        <w:r>
          <w:fldChar w:fldCharType="end"/>
        </w:r>
      </w:p>
    </w:sdtContent>
  </w:sdt>
  <w:p w:rsidR="00090D0C" w:rsidRDefault="00090D0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C" w:rsidRDefault="00090D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5876"/>
    <w:multiLevelType w:val="hybridMultilevel"/>
    <w:tmpl w:val="EAE620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283EE8"/>
    <w:multiLevelType w:val="multilevel"/>
    <w:tmpl w:val="04488022"/>
    <w:lvl w:ilvl="0">
      <w:start w:val="1"/>
      <w:numFmt w:val="decimal"/>
      <w:pStyle w:val="ParaNoNdepar-AltN"/>
      <w:lvlText w:val="[%1]"/>
      <w:lvlJc w:val="left"/>
      <w:pPr>
        <w:tabs>
          <w:tab w:val="num" w:pos="1152"/>
        </w:tabs>
        <w:ind w:left="0" w:firstLine="0"/>
      </w:pPr>
      <w:rPr>
        <w:rFonts w:ascii="Times New Roman" w:hAnsi="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9A"/>
    <w:rsid w:val="000171D5"/>
    <w:rsid w:val="00050B60"/>
    <w:rsid w:val="00064B05"/>
    <w:rsid w:val="00082B01"/>
    <w:rsid w:val="00090D0C"/>
    <w:rsid w:val="000A54B4"/>
    <w:rsid w:val="000A5E85"/>
    <w:rsid w:val="000B7F53"/>
    <w:rsid w:val="000C1759"/>
    <w:rsid w:val="000D69A9"/>
    <w:rsid w:val="000F4FD0"/>
    <w:rsid w:val="00102543"/>
    <w:rsid w:val="00113340"/>
    <w:rsid w:val="00116A1B"/>
    <w:rsid w:val="00116C43"/>
    <w:rsid w:val="00131E69"/>
    <w:rsid w:val="00136E87"/>
    <w:rsid w:val="00142CF4"/>
    <w:rsid w:val="001450C3"/>
    <w:rsid w:val="00162312"/>
    <w:rsid w:val="0017227C"/>
    <w:rsid w:val="001D4AF8"/>
    <w:rsid w:val="001F6057"/>
    <w:rsid w:val="00214920"/>
    <w:rsid w:val="00234039"/>
    <w:rsid w:val="0024210E"/>
    <w:rsid w:val="0025239E"/>
    <w:rsid w:val="00255861"/>
    <w:rsid w:val="00276F82"/>
    <w:rsid w:val="00292B9E"/>
    <w:rsid w:val="002D1730"/>
    <w:rsid w:val="002E20E4"/>
    <w:rsid w:val="0030199A"/>
    <w:rsid w:val="00305467"/>
    <w:rsid w:val="003126B3"/>
    <w:rsid w:val="00314299"/>
    <w:rsid w:val="003500AB"/>
    <w:rsid w:val="003515B7"/>
    <w:rsid w:val="00374EC8"/>
    <w:rsid w:val="0039159C"/>
    <w:rsid w:val="003A5659"/>
    <w:rsid w:val="003A697C"/>
    <w:rsid w:val="003B25F9"/>
    <w:rsid w:val="003B3566"/>
    <w:rsid w:val="004032B9"/>
    <w:rsid w:val="00412BF3"/>
    <w:rsid w:val="004409DD"/>
    <w:rsid w:val="004576B6"/>
    <w:rsid w:val="00460363"/>
    <w:rsid w:val="00476486"/>
    <w:rsid w:val="00490DCE"/>
    <w:rsid w:val="004C070B"/>
    <w:rsid w:val="004D1553"/>
    <w:rsid w:val="004E2915"/>
    <w:rsid w:val="004E431C"/>
    <w:rsid w:val="00523F2B"/>
    <w:rsid w:val="005275EF"/>
    <w:rsid w:val="00530FB9"/>
    <w:rsid w:val="00550B5C"/>
    <w:rsid w:val="00572710"/>
    <w:rsid w:val="00585092"/>
    <w:rsid w:val="005B7AE2"/>
    <w:rsid w:val="00637D76"/>
    <w:rsid w:val="00681294"/>
    <w:rsid w:val="006B3422"/>
    <w:rsid w:val="006D2145"/>
    <w:rsid w:val="006E71B5"/>
    <w:rsid w:val="00720428"/>
    <w:rsid w:val="00735E62"/>
    <w:rsid w:val="00737A12"/>
    <w:rsid w:val="00737B6F"/>
    <w:rsid w:val="0074709A"/>
    <w:rsid w:val="0075632D"/>
    <w:rsid w:val="00766580"/>
    <w:rsid w:val="00782F4F"/>
    <w:rsid w:val="007A3174"/>
    <w:rsid w:val="007A7F09"/>
    <w:rsid w:val="007B64B7"/>
    <w:rsid w:val="007D55B6"/>
    <w:rsid w:val="007F4BE1"/>
    <w:rsid w:val="008110F6"/>
    <w:rsid w:val="00812FBD"/>
    <w:rsid w:val="00820E23"/>
    <w:rsid w:val="00823268"/>
    <w:rsid w:val="00880650"/>
    <w:rsid w:val="00891378"/>
    <w:rsid w:val="008A6F8C"/>
    <w:rsid w:val="008E3DF5"/>
    <w:rsid w:val="008E4739"/>
    <w:rsid w:val="00946B81"/>
    <w:rsid w:val="00953E40"/>
    <w:rsid w:val="00974059"/>
    <w:rsid w:val="0099472F"/>
    <w:rsid w:val="009B4227"/>
    <w:rsid w:val="009E4839"/>
    <w:rsid w:val="00A20586"/>
    <w:rsid w:val="00A5132B"/>
    <w:rsid w:val="00A77186"/>
    <w:rsid w:val="00A8320E"/>
    <w:rsid w:val="00AA6F25"/>
    <w:rsid w:val="00AB3F0C"/>
    <w:rsid w:val="00AD2E5D"/>
    <w:rsid w:val="00AD71A8"/>
    <w:rsid w:val="00AE7856"/>
    <w:rsid w:val="00AF2C90"/>
    <w:rsid w:val="00B066BD"/>
    <w:rsid w:val="00B4059C"/>
    <w:rsid w:val="00B5116A"/>
    <w:rsid w:val="00B57032"/>
    <w:rsid w:val="00B6040E"/>
    <w:rsid w:val="00B66E19"/>
    <w:rsid w:val="00B73894"/>
    <w:rsid w:val="00B73E2A"/>
    <w:rsid w:val="00B8616C"/>
    <w:rsid w:val="00B94736"/>
    <w:rsid w:val="00BA294A"/>
    <w:rsid w:val="00BB770D"/>
    <w:rsid w:val="00BD25CE"/>
    <w:rsid w:val="00BD2BAC"/>
    <w:rsid w:val="00BD3A73"/>
    <w:rsid w:val="00C072D1"/>
    <w:rsid w:val="00C12B9C"/>
    <w:rsid w:val="00C208B1"/>
    <w:rsid w:val="00C22A1E"/>
    <w:rsid w:val="00C5008B"/>
    <w:rsid w:val="00C5233E"/>
    <w:rsid w:val="00C54D90"/>
    <w:rsid w:val="00C90CC4"/>
    <w:rsid w:val="00C95B25"/>
    <w:rsid w:val="00CB766B"/>
    <w:rsid w:val="00CE2914"/>
    <w:rsid w:val="00D20AB6"/>
    <w:rsid w:val="00D37E5D"/>
    <w:rsid w:val="00D60D9F"/>
    <w:rsid w:val="00D67CFB"/>
    <w:rsid w:val="00DA7748"/>
    <w:rsid w:val="00DB4F42"/>
    <w:rsid w:val="00DB74AF"/>
    <w:rsid w:val="00DC04D0"/>
    <w:rsid w:val="00DD2FAF"/>
    <w:rsid w:val="00DD3078"/>
    <w:rsid w:val="00DF1D8F"/>
    <w:rsid w:val="00E05989"/>
    <w:rsid w:val="00E12866"/>
    <w:rsid w:val="00E21484"/>
    <w:rsid w:val="00E332D0"/>
    <w:rsid w:val="00E50D9E"/>
    <w:rsid w:val="00E561A1"/>
    <w:rsid w:val="00E56CA3"/>
    <w:rsid w:val="00E65F23"/>
    <w:rsid w:val="00E76060"/>
    <w:rsid w:val="00E870E0"/>
    <w:rsid w:val="00EA27D4"/>
    <w:rsid w:val="00ED532E"/>
    <w:rsid w:val="00EE2159"/>
    <w:rsid w:val="00EF2582"/>
    <w:rsid w:val="00F27995"/>
    <w:rsid w:val="00F327CF"/>
    <w:rsid w:val="00F55ABC"/>
    <w:rsid w:val="00F55AC3"/>
    <w:rsid w:val="00F63C96"/>
    <w:rsid w:val="00F72C4F"/>
    <w:rsid w:val="00F860AE"/>
    <w:rsid w:val="00F91B61"/>
    <w:rsid w:val="00F93B34"/>
    <w:rsid w:val="00F960AD"/>
    <w:rsid w:val="00FA5327"/>
    <w:rsid w:val="00FB1B82"/>
    <w:rsid w:val="00FD7160"/>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30199A"/>
    <w:rPr>
      <w:lang w:bidi="en-US"/>
    </w:rPr>
  </w:style>
  <w:style w:type="paragraph" w:styleId="Titre1">
    <w:name w:val="heading 1"/>
    <w:basedOn w:val="Normal"/>
    <w:next w:val="Normal"/>
    <w:link w:val="Titre1Car"/>
    <w:uiPriority w:val="9"/>
    <w:qFormat/>
    <w:rsid w:val="00B66E19"/>
    <w:pPr>
      <w:keepNext/>
      <w:keepLines/>
      <w:spacing w:before="480"/>
      <w:outlineLvl w:val="0"/>
    </w:pPr>
    <w:rPr>
      <w:rFonts w:eastAsiaTheme="majorEastAsia" w:cs="Times New Roman"/>
      <w:b/>
      <w:bCs/>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NoNdepar-AltN">
    <w:name w:val="Para. No. / Nº de par. - Alt N"/>
    <w:qFormat/>
    <w:rsid w:val="0030199A"/>
    <w:pPr>
      <w:numPr>
        <w:numId w:val="1"/>
      </w:numPr>
      <w:spacing w:before="480" w:after="480" w:line="480" w:lineRule="auto"/>
      <w:jc w:val="both"/>
    </w:pPr>
    <w:rPr>
      <w:rFonts w:eastAsiaTheme="minorEastAsia"/>
      <w:lang w:val="en-CA"/>
    </w:rPr>
  </w:style>
  <w:style w:type="paragraph" w:styleId="Notedebasdepage">
    <w:name w:val="footnote text"/>
    <w:basedOn w:val="Normal"/>
    <w:link w:val="NotedebasdepageCar"/>
    <w:uiPriority w:val="99"/>
    <w:unhideWhenUsed/>
    <w:rsid w:val="0030199A"/>
    <w:pPr>
      <w:tabs>
        <w:tab w:val="left" w:pos="180"/>
      </w:tabs>
      <w:ind w:left="187" w:hanging="187"/>
      <w:jc w:val="both"/>
    </w:pPr>
    <w:rPr>
      <w:rFonts w:eastAsia="Times New Roman" w:cs="Times New Roman"/>
      <w:sz w:val="20"/>
      <w:szCs w:val="20"/>
      <w:lang w:val="en-CA" w:eastAsia="en-CA"/>
    </w:rPr>
  </w:style>
  <w:style w:type="character" w:customStyle="1" w:styleId="NotedebasdepageCar">
    <w:name w:val="Note de bas de page Car"/>
    <w:basedOn w:val="Policepardfaut"/>
    <w:link w:val="Notedebasdepage"/>
    <w:uiPriority w:val="99"/>
    <w:rsid w:val="0030199A"/>
    <w:rPr>
      <w:rFonts w:eastAsia="Times New Roman" w:cs="Times New Roman"/>
      <w:sz w:val="20"/>
      <w:szCs w:val="20"/>
      <w:lang w:val="en-CA" w:eastAsia="en-CA"/>
    </w:rPr>
  </w:style>
  <w:style w:type="character" w:styleId="Appelnotedebasdep">
    <w:name w:val="footnote reference"/>
    <w:basedOn w:val="Policepardfaut"/>
    <w:uiPriority w:val="99"/>
    <w:semiHidden/>
    <w:unhideWhenUsed/>
    <w:rsid w:val="0030199A"/>
    <w:rPr>
      <w:vertAlign w:val="superscript"/>
    </w:rPr>
  </w:style>
  <w:style w:type="character" w:styleId="Lienhypertexte">
    <w:name w:val="Hyperlink"/>
    <w:basedOn w:val="Policepardfaut"/>
    <w:uiPriority w:val="99"/>
    <w:unhideWhenUsed/>
    <w:rsid w:val="0030199A"/>
    <w:rPr>
      <w:color w:val="0563C1" w:themeColor="hyperlink"/>
      <w:u w:val="single"/>
    </w:rPr>
  </w:style>
  <w:style w:type="character" w:customStyle="1" w:styleId="reflex3-block">
    <w:name w:val="reflex3-block"/>
    <w:basedOn w:val="Policepardfaut"/>
    <w:rsid w:val="0030199A"/>
  </w:style>
  <w:style w:type="character" w:customStyle="1" w:styleId="reflex3-alt">
    <w:name w:val="reflex3-alt"/>
    <w:basedOn w:val="Policepardfaut"/>
    <w:rsid w:val="0030199A"/>
  </w:style>
  <w:style w:type="character" w:styleId="Lienhypertextesuivivisit">
    <w:name w:val="FollowedHyperlink"/>
    <w:basedOn w:val="Policepardfaut"/>
    <w:uiPriority w:val="99"/>
    <w:semiHidden/>
    <w:unhideWhenUsed/>
    <w:rsid w:val="00162312"/>
    <w:rPr>
      <w:color w:val="954F72" w:themeColor="followedHyperlink"/>
      <w:u w:val="single"/>
    </w:rPr>
  </w:style>
  <w:style w:type="paragraph" w:styleId="Textedebulles">
    <w:name w:val="Balloon Text"/>
    <w:basedOn w:val="Normal"/>
    <w:link w:val="TextedebullesCar"/>
    <w:uiPriority w:val="99"/>
    <w:semiHidden/>
    <w:unhideWhenUsed/>
    <w:rsid w:val="00F960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0AD"/>
    <w:rPr>
      <w:rFonts w:ascii="Segoe UI" w:hAnsi="Segoe UI" w:cs="Segoe UI"/>
      <w:sz w:val="18"/>
      <w:szCs w:val="18"/>
      <w:lang w:bidi="en-US"/>
    </w:rPr>
  </w:style>
  <w:style w:type="paragraph" w:styleId="En-tte">
    <w:name w:val="header"/>
    <w:basedOn w:val="Normal"/>
    <w:link w:val="En-tteCar"/>
    <w:uiPriority w:val="99"/>
    <w:unhideWhenUsed/>
    <w:rsid w:val="0024210E"/>
    <w:pPr>
      <w:tabs>
        <w:tab w:val="center" w:pos="4680"/>
        <w:tab w:val="right" w:pos="9360"/>
      </w:tabs>
    </w:pPr>
  </w:style>
  <w:style w:type="character" w:customStyle="1" w:styleId="En-tteCar">
    <w:name w:val="En-tête Car"/>
    <w:basedOn w:val="Policepardfaut"/>
    <w:link w:val="En-tte"/>
    <w:uiPriority w:val="99"/>
    <w:rsid w:val="0024210E"/>
    <w:rPr>
      <w:lang w:bidi="en-US"/>
    </w:rPr>
  </w:style>
  <w:style w:type="paragraph" w:styleId="Pieddepage">
    <w:name w:val="footer"/>
    <w:basedOn w:val="Normal"/>
    <w:link w:val="PieddepageCar"/>
    <w:uiPriority w:val="99"/>
    <w:unhideWhenUsed/>
    <w:rsid w:val="0024210E"/>
    <w:pPr>
      <w:tabs>
        <w:tab w:val="center" w:pos="4680"/>
        <w:tab w:val="right" w:pos="9360"/>
      </w:tabs>
    </w:pPr>
  </w:style>
  <w:style w:type="character" w:customStyle="1" w:styleId="PieddepageCar">
    <w:name w:val="Pied de page Car"/>
    <w:basedOn w:val="Policepardfaut"/>
    <w:link w:val="Pieddepage"/>
    <w:uiPriority w:val="99"/>
    <w:rsid w:val="0024210E"/>
    <w:rPr>
      <w:lang w:bidi="en-US"/>
    </w:rPr>
  </w:style>
  <w:style w:type="character" w:customStyle="1" w:styleId="Titre1Car">
    <w:name w:val="Titre 1 Car"/>
    <w:basedOn w:val="Policepardfaut"/>
    <w:link w:val="Titre1"/>
    <w:uiPriority w:val="9"/>
    <w:rsid w:val="00B66E19"/>
    <w:rPr>
      <w:rFonts w:eastAsiaTheme="majorEastAsia" w:cs="Times New Roman"/>
      <w:b/>
      <w:bCs/>
      <w:i/>
      <w:szCs w:val="24"/>
      <w:lang w:bidi="en-US"/>
    </w:rPr>
  </w:style>
  <w:style w:type="character" w:customStyle="1" w:styleId="solext110">
    <w:name w:val="solext110"/>
    <w:basedOn w:val="Policepardfaut"/>
    <w:rsid w:val="00C12B9C"/>
    <w:rPr>
      <w:shd w:val="clear" w:color="auto" w:fill="F3BFFD"/>
    </w:rPr>
  </w:style>
  <w:style w:type="character" w:customStyle="1" w:styleId="solext210">
    <w:name w:val="solext210"/>
    <w:basedOn w:val="Policepardfaut"/>
    <w:rsid w:val="00C12B9C"/>
    <w:rPr>
      <w:shd w:val="clear" w:color="auto" w:fill="FDD3BF"/>
    </w:rPr>
  </w:style>
  <w:style w:type="character" w:customStyle="1" w:styleId="solext410">
    <w:name w:val="solext410"/>
    <w:basedOn w:val="Policepardfaut"/>
    <w:rsid w:val="00C12B9C"/>
    <w:rPr>
      <w:shd w:val="clear" w:color="auto" w:fill="FDF3BF"/>
    </w:rPr>
  </w:style>
  <w:style w:type="paragraph" w:styleId="Paragraphedeliste">
    <w:name w:val="List Paragraph"/>
    <w:basedOn w:val="Normal"/>
    <w:uiPriority w:val="34"/>
    <w:rsid w:val="00DC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062">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
    <w:div w:id="597372792">
      <w:bodyDiv w:val="1"/>
      <w:marLeft w:val="0"/>
      <w:marRight w:val="0"/>
      <w:marTop w:val="0"/>
      <w:marBottom w:val="0"/>
      <w:divBdr>
        <w:top w:val="none" w:sz="0" w:space="0" w:color="auto"/>
        <w:left w:val="none" w:sz="0" w:space="0" w:color="auto"/>
        <w:bottom w:val="none" w:sz="0" w:space="0" w:color="auto"/>
        <w:right w:val="none" w:sz="0" w:space="0" w:color="auto"/>
      </w:divBdr>
    </w:div>
    <w:div w:id="1356224395">
      <w:bodyDiv w:val="1"/>
      <w:marLeft w:val="0"/>
      <w:marRight w:val="0"/>
      <w:marTop w:val="0"/>
      <w:marBottom w:val="0"/>
      <w:divBdr>
        <w:top w:val="none" w:sz="0" w:space="0" w:color="auto"/>
        <w:left w:val="none" w:sz="0" w:space="0" w:color="auto"/>
        <w:bottom w:val="none" w:sz="0" w:space="0" w:color="auto"/>
        <w:right w:val="none" w:sz="0" w:space="0" w:color="auto"/>
      </w:divBdr>
    </w:div>
    <w:div w:id="1606232422">
      <w:bodyDiv w:val="1"/>
      <w:marLeft w:val="0"/>
      <w:marRight w:val="0"/>
      <w:marTop w:val="0"/>
      <w:marBottom w:val="0"/>
      <w:divBdr>
        <w:top w:val="none" w:sz="0" w:space="0" w:color="auto"/>
        <w:left w:val="none" w:sz="0" w:space="0" w:color="auto"/>
        <w:bottom w:val="none" w:sz="0" w:space="0" w:color="auto"/>
        <w:right w:val="none" w:sz="0" w:space="0" w:color="auto"/>
      </w:divBdr>
    </w:div>
    <w:div w:id="17424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vieux.montreal.qc.ca/inventaire/fiches/fiche_bat.php?id=0040-46-7464-00&amp;mat=0040-46-7464" TargetMode="External"/><Relationship Id="rId1" Type="http://schemas.openxmlformats.org/officeDocument/2006/relationships/hyperlink" Target="http://www.vieux.montreal.qc.ca/inventaire/fiches/fiche_bat.php?sec=a&amp;num=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D4BB-1B42-4B62-BFC0-C8D3AB1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4829</Words>
  <Characters>26562</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2017-10-30T15:33:00Z</dcterms:created>
  <dcterms:modified xsi:type="dcterms:W3CDTF">2017-10-30T15:33:00Z</dcterms:modified>
</cp:coreProperties>
</file>